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6A3FAB">
      <w:pPr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  <w:t>供应商应具备《中华人民共和国政府采购法》第二十二条规定的条件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eastAsia="zh-CN"/>
        </w:rPr>
        <w:t>的承诺函（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eastAsia="zh-CN"/>
        </w:rPr>
        <w:t>格式自拟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eastAsia="zh-CN"/>
        </w:rPr>
        <w:t>）</w:t>
      </w:r>
    </w:p>
    <w:p w14:paraId="3CC0D264">
      <w:pP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eastAsia="zh-CN"/>
        </w:rPr>
      </w:pPr>
    </w:p>
    <w:p w14:paraId="37637118">
      <w:pP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eastAsia="zh-CN"/>
        </w:rPr>
      </w:pPr>
    </w:p>
    <w:p w14:paraId="54990C13">
      <w:pPr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A87B1C"/>
    <w:rsid w:val="40354679"/>
    <w:rsid w:val="4F2F7D4D"/>
    <w:rsid w:val="5DC76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2025-02-18T08:32:52Z</dcterms:created>
  <dc:creator>Administrator</dc:creator>
  <cp:lastModifiedBy>宋</cp:lastModifiedBy>
  <dcterms:modified xsi:type="dcterms:W3CDTF">2025-02-18T08:33:21Z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2052-12.1.0.20260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6EFA48ED94E040A7BDE8EDF19072FE0E_12</vt:lpwstr>
  </property>
</Properties>
</file>