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版本号：SDZC2025-01320250219001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2024年第一批市级财政农业农村发展专项资金项目（粮食作物重大病虫害应急防治）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SDZC2025-013</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2024年第一批市级财政农业农村发展专项资金项目（粮食作物重大病虫害应急防治）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2024年第一批市级财政农业农村发展专项资金项目（粮食作物重大病虫害应急防治）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利用植保无人机开展小麦重大病虫害应急统防统治服务。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采购包1（统防区域：华胥镇小麦田）：属于专门面向中小企业采购。</w:t>
      </w:r>
    </w:p>
    <w:p>
      <w:pPr>
        <w:pStyle w:val="null3"/>
      </w:pPr>
      <w:r>
        <w:rPr>
          <w:rFonts w:ascii="仿宋_GB2312" w:hAnsi="仿宋_GB2312" w:cs="仿宋_GB2312" w:eastAsia="仿宋_GB2312"/>
        </w:rPr>
        <w:t>采购包2（统防区域：洩湖镇小麦田）：属于专门面向中小企业采购。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3、税收缴纳证明：税收缴纳证明：提供截止至开标时间前一年内任意一个月的缴纳凭据（包含增值税、企业所得税至少一种）；（依法免税的供应商应提供相关文件证明）。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 前六个月内任意一个月的社保缴纳凭据或社保 机构开具的社会保险参保缴纳情况证明；（依法不需要缴纳社会保障资金的供应商应提供相 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 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8、民用无人驾驶航空器经营许可证或民用无人驾驶航空器运营合格证：民用无人驾驶航空器经营许可证或民用无人驾驶航空器运营合格证。</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3、税收缴纳证明：税收缴纳证明：提供截止至开标时间前一年内任意一个月的缴纳凭据（包含增值税、企业所得税至少一种）；（依法免税的供应商应提供相关文件证明）。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8、民用无人驾驶航空器经营许可证或民用无人驾驶航空器运营合格证：民用无人驾驶航空器经营许可证或民用无人驾驶航空器运营合格证。</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15229001951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1.开户行名称：陕西上德招标有限公司 2.开 户 行：西安银行股份有限公司文景路支行 3.账 号：7070 1151 0000 0135 22 4.西安银行文景路行号：313791000509 财务部联系方式： 029-86673953、029-86518381、029-89299829、029-89293231 转8033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 (11号工位)、王涛</w:t>
      </w:r>
    </w:p>
    <w:p>
      <w:pPr>
        <w:pStyle w:val="null3"/>
      </w:pPr>
      <w:r>
        <w:rPr>
          <w:rFonts w:ascii="仿宋_GB2312" w:hAnsi="仿宋_GB2312" w:cs="仿宋_GB2312" w:eastAsia="仿宋_GB2312"/>
        </w:rPr>
        <w:t>联系电话：029-86673953、029-86518381、029-89299829、029-89293231 转8011</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利用植保无人机开展小麦重大病虫害应急统防统治服务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统防区域：华胥镇小麦田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统防区域：洩湖镇小麦田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标的名称：统防区域：华胥镇小麦田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服务内容及要求</w:t>
            </w:r>
          </w:p>
        </w:tc>
        <w:tc>
          <w:tcPr>
            <w:tcW w:type="dxa" w:w="2076"/>
          </w:tcPr>
          <w:p>
            <w:pPr>
              <w:pStyle w:val="null3"/>
              <w:jc w:val="both"/>
            </w:pPr>
            <w:r>
              <w:rPr>
                <w:rFonts w:ascii="仿宋_GB2312" w:hAnsi="仿宋_GB2312" w:cs="仿宋_GB2312" w:eastAsia="仿宋_GB2312"/>
              </w:rPr>
              <w:t xml:space="preserve">一、项目概况 </w:t>
            </w:r>
          </w:p>
          <w:p>
            <w:pPr>
              <w:pStyle w:val="null3"/>
            </w:pPr>
            <w:r>
              <w:rPr>
                <w:rFonts w:ascii="仿宋_GB2312" w:hAnsi="仿宋_GB2312" w:cs="仿宋_GB2312" w:eastAsia="仿宋_GB2312"/>
              </w:rPr>
              <w:t>利用植保无人机及防控药剂在粮食作物重大病虫害普发、重发区域适时开展应急统防统治，辐射带动联防联控、群防群治工作开展，及时有效遏制重大病虫害蔓延危害，确保粮食生产安全。小麦重大病虫害应急统防统治服务需满足植保无人机飞防作业相关技术要求，防效在85%以上。统防统治药剂需使用采购方要求的药剂组合，并根据药剂有效成份亩用量计算亩用药量。</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利用植保无人机开展小麦重大病虫害应急统防统治服务，应急统防统治面积1万亩，统防区域：华胥镇小麦田，防控药剂为：戊唑·咪鲜胺+甲维·高氯氟+芸苔素内酯+航空喷雾助剂。</w:t>
            </w:r>
          </w:p>
          <w:p>
            <w:pPr>
              <w:pStyle w:val="null3"/>
            </w:pPr>
            <w:r>
              <w:rPr>
                <w:rFonts w:ascii="仿宋_GB2312" w:hAnsi="仿宋_GB2312" w:cs="仿宋_GB2312" w:eastAsia="仿宋_GB2312"/>
              </w:rPr>
              <w:t>药剂有效成份亩用量</w:t>
            </w:r>
          </w:p>
          <w:p>
            <w:pPr>
              <w:pStyle w:val="null3"/>
            </w:pPr>
            <w:r>
              <w:rPr>
                <w:rFonts w:ascii="仿宋_GB2312" w:hAnsi="仿宋_GB2312" w:cs="仿宋_GB2312" w:eastAsia="仿宋_GB2312"/>
              </w:rPr>
              <w:t>杀菌剂：戊唑·咪鲜胺≥9克。</w:t>
            </w:r>
          </w:p>
          <w:p>
            <w:pPr>
              <w:pStyle w:val="null3"/>
            </w:pPr>
            <w:r>
              <w:rPr>
                <w:rFonts w:ascii="仿宋_GB2312" w:hAnsi="仿宋_GB2312" w:cs="仿宋_GB2312" w:eastAsia="仿宋_GB2312"/>
              </w:rPr>
              <w:t>杀虫剂：甲维·高氯氟≥1克。</w:t>
            </w:r>
          </w:p>
          <w:p>
            <w:pPr>
              <w:pStyle w:val="null3"/>
            </w:pPr>
            <w:r>
              <w:rPr>
                <w:rFonts w:ascii="仿宋_GB2312" w:hAnsi="仿宋_GB2312" w:cs="仿宋_GB2312" w:eastAsia="仿宋_GB2312"/>
              </w:rPr>
              <w:t>叶面肥（植物生长调节剂）：芸苔素内酯≥0.001克。</w:t>
            </w:r>
          </w:p>
          <w:p>
            <w:pPr>
              <w:pStyle w:val="null3"/>
            </w:pPr>
            <w:r>
              <w:rPr>
                <w:rFonts w:ascii="仿宋_GB2312" w:hAnsi="仿宋_GB2312" w:cs="仿宋_GB2312" w:eastAsia="仿宋_GB2312"/>
              </w:rPr>
              <w:t>航空喷雾助剂≥10克。</w:t>
            </w:r>
          </w:p>
          <w:p>
            <w:pPr>
              <w:pStyle w:val="null3"/>
            </w:pPr>
            <w:r>
              <w:rPr>
                <w:rFonts w:ascii="仿宋_GB2312" w:hAnsi="仿宋_GB2312" w:cs="仿宋_GB2312" w:eastAsia="仿宋_GB2312"/>
              </w:rPr>
              <w:t>三、用途说明：</w:t>
            </w:r>
          </w:p>
          <w:p>
            <w:pPr>
              <w:pStyle w:val="null3"/>
            </w:pPr>
            <w:r>
              <w:rPr>
                <w:rFonts w:ascii="仿宋_GB2312" w:hAnsi="仿宋_GB2312" w:cs="仿宋_GB2312" w:eastAsia="仿宋_GB2312"/>
              </w:rPr>
              <w:t>根据小麦重大病虫害发生危害实际，利用植保无人机开展小麦重大病虫害应急统防统治服务。及时有效遏制重大病虫害蔓延危害，确保粮食生产安全。</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1、乙方利用植保无人机对甲方指定的区域进行病虫害专业化统防统治作业。</w:t>
            </w:r>
          </w:p>
          <w:p>
            <w:pPr>
              <w:pStyle w:val="null3"/>
            </w:pPr>
            <w:r>
              <w:rPr>
                <w:rFonts w:ascii="仿宋_GB2312" w:hAnsi="仿宋_GB2312" w:cs="仿宋_GB2312" w:eastAsia="仿宋_GB2312"/>
              </w:rPr>
              <w:t>2、乙方使用的药剂必须适宜航化作业，对作物、人员、环境安全。</w:t>
            </w:r>
          </w:p>
          <w:p>
            <w:pPr>
              <w:pStyle w:val="null3"/>
            </w:pPr>
            <w:r>
              <w:rPr>
                <w:rFonts w:ascii="仿宋_GB2312" w:hAnsi="仿宋_GB2312" w:cs="仿宋_GB2312" w:eastAsia="仿宋_GB2312"/>
              </w:rPr>
              <w:t>3、防治作业中产生的其它费用由乙方承担。</w:t>
            </w:r>
          </w:p>
          <w:p>
            <w:pPr>
              <w:pStyle w:val="null3"/>
            </w:pPr>
            <w:r>
              <w:rPr>
                <w:rFonts w:ascii="仿宋_GB2312" w:hAnsi="仿宋_GB2312" w:cs="仿宋_GB2312" w:eastAsia="仿宋_GB2312"/>
              </w:rPr>
              <w:t>4、作业期间，乙方务必邀请甲方对作业质量进行监督，确保防治效果。</w:t>
            </w:r>
          </w:p>
          <w:p>
            <w:pPr>
              <w:pStyle w:val="null3"/>
            </w:pPr>
            <w:r>
              <w:rPr>
                <w:rFonts w:ascii="仿宋_GB2312" w:hAnsi="仿宋_GB2312" w:cs="仿宋_GB2312" w:eastAsia="仿宋_GB2312"/>
              </w:rPr>
              <w:t>5、通过项目实施，应急统防统治区域小麦病虫危害损失率控制在5%以下。</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标的名称：统防区域：洩湖镇小麦田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服务内容及要求</w:t>
            </w:r>
          </w:p>
        </w:tc>
        <w:tc>
          <w:tcPr>
            <w:tcW w:type="dxa" w:w="2076"/>
          </w:tcPr>
          <w:p>
            <w:pPr>
              <w:pStyle w:val="null3"/>
              <w:jc w:val="both"/>
            </w:pPr>
            <w:r>
              <w:rPr>
                <w:rFonts w:ascii="仿宋_GB2312" w:hAnsi="仿宋_GB2312" w:cs="仿宋_GB2312" w:eastAsia="仿宋_GB2312"/>
              </w:rPr>
              <w:t xml:space="preserve">一、项目概况 </w:t>
            </w:r>
          </w:p>
          <w:p>
            <w:pPr>
              <w:pStyle w:val="null3"/>
            </w:pPr>
            <w:r>
              <w:rPr>
                <w:rFonts w:ascii="仿宋_GB2312" w:hAnsi="仿宋_GB2312" w:cs="仿宋_GB2312" w:eastAsia="仿宋_GB2312"/>
              </w:rPr>
              <w:t>利用植保无人机及防控药剂在粮食作物重大病虫害普发、重发区域适时开展应急统防统治，辐射带动联防联控、群防群治工作开展，及时有效遏制重大病虫害蔓延危害，确保粮食生产安全。小麦重大病虫害应急统防统治服务需满足植保无人机飞防作业相关技术要求，防效在85%以上。统防统治药剂需使用采购方要求的药剂组合，并根据药剂有效成份亩用量计算亩用药量。</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利用植保无人机开展小麦重大病虫害应急统防统治服务，应急统防统治面积1.15万亩，统防区域：洩湖镇小麦田，防控药剂为：丙硫菌唑•戊唑醇+联苯·噻虫嗪+含氨基酸水溶肥料+航空喷雾助剂。</w:t>
            </w:r>
          </w:p>
          <w:p>
            <w:pPr>
              <w:pStyle w:val="null3"/>
            </w:pPr>
            <w:r>
              <w:rPr>
                <w:rFonts w:ascii="仿宋_GB2312" w:hAnsi="仿宋_GB2312" w:cs="仿宋_GB2312" w:eastAsia="仿宋_GB2312"/>
              </w:rPr>
              <w:t>药剂有效成份亩用量</w:t>
            </w:r>
          </w:p>
          <w:p>
            <w:pPr>
              <w:pStyle w:val="null3"/>
            </w:pPr>
            <w:r>
              <w:rPr>
                <w:rFonts w:ascii="仿宋_GB2312" w:hAnsi="仿宋_GB2312" w:cs="仿宋_GB2312" w:eastAsia="仿宋_GB2312"/>
              </w:rPr>
              <w:t>杀菌剂：丙硫菌唑•戊唑醇≥12克。</w:t>
            </w:r>
          </w:p>
          <w:p>
            <w:pPr>
              <w:pStyle w:val="null3"/>
            </w:pPr>
            <w:r>
              <w:rPr>
                <w:rFonts w:ascii="仿宋_GB2312" w:hAnsi="仿宋_GB2312" w:cs="仿宋_GB2312" w:eastAsia="仿宋_GB2312"/>
              </w:rPr>
              <w:t>杀虫剂：联苯·噻虫嗪≥2克。</w:t>
            </w:r>
          </w:p>
          <w:p>
            <w:pPr>
              <w:pStyle w:val="null3"/>
            </w:pPr>
            <w:r>
              <w:rPr>
                <w:rFonts w:ascii="仿宋_GB2312" w:hAnsi="仿宋_GB2312" w:cs="仿宋_GB2312" w:eastAsia="仿宋_GB2312"/>
              </w:rPr>
              <w:t>叶面肥（植物生长调节剂）：含氨基酸水溶肥料≥50克（亩商品用量）。</w:t>
            </w:r>
          </w:p>
          <w:p>
            <w:pPr>
              <w:pStyle w:val="null3"/>
            </w:pPr>
            <w:r>
              <w:rPr>
                <w:rFonts w:ascii="仿宋_GB2312" w:hAnsi="仿宋_GB2312" w:cs="仿宋_GB2312" w:eastAsia="仿宋_GB2312"/>
              </w:rPr>
              <w:t>航空喷雾助剂≥10克。</w:t>
            </w:r>
          </w:p>
          <w:p>
            <w:pPr>
              <w:pStyle w:val="null3"/>
            </w:pPr>
            <w:r>
              <w:rPr>
                <w:rFonts w:ascii="仿宋_GB2312" w:hAnsi="仿宋_GB2312" w:cs="仿宋_GB2312" w:eastAsia="仿宋_GB2312"/>
              </w:rPr>
              <w:t>三、用途说明：</w:t>
            </w:r>
          </w:p>
          <w:p>
            <w:pPr>
              <w:pStyle w:val="null3"/>
            </w:pPr>
            <w:r>
              <w:rPr>
                <w:rFonts w:ascii="仿宋_GB2312" w:hAnsi="仿宋_GB2312" w:cs="仿宋_GB2312" w:eastAsia="仿宋_GB2312"/>
              </w:rPr>
              <w:t>根据小麦重大病虫害发生危害实际，利用植保无人机开展小麦重大病虫害应急统防统治服务。及时有效遏制重大病虫害蔓延危害，确保粮食生产安全。</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1、乙方利用植保无人机对甲方指定的区域进行病虫害专业化统防统治作业。</w:t>
            </w:r>
          </w:p>
          <w:p>
            <w:pPr>
              <w:pStyle w:val="null3"/>
            </w:pPr>
            <w:r>
              <w:rPr>
                <w:rFonts w:ascii="仿宋_GB2312" w:hAnsi="仿宋_GB2312" w:cs="仿宋_GB2312" w:eastAsia="仿宋_GB2312"/>
              </w:rPr>
              <w:t>2、乙方使用的药剂必须适宜航化作业，对作物、人员、环境安全。</w:t>
            </w:r>
          </w:p>
          <w:p>
            <w:pPr>
              <w:pStyle w:val="null3"/>
            </w:pPr>
            <w:r>
              <w:rPr>
                <w:rFonts w:ascii="仿宋_GB2312" w:hAnsi="仿宋_GB2312" w:cs="仿宋_GB2312" w:eastAsia="仿宋_GB2312"/>
              </w:rPr>
              <w:t>3、防治作业中产生的其它费用由乙方承担。</w:t>
            </w:r>
          </w:p>
          <w:p>
            <w:pPr>
              <w:pStyle w:val="null3"/>
            </w:pPr>
            <w:r>
              <w:rPr>
                <w:rFonts w:ascii="仿宋_GB2312" w:hAnsi="仿宋_GB2312" w:cs="仿宋_GB2312" w:eastAsia="仿宋_GB2312"/>
              </w:rPr>
              <w:t>4、作业期间，乙方务必邀请甲方对作业质量进行监督，确保防治效果。</w:t>
            </w:r>
          </w:p>
          <w:p>
            <w:pPr>
              <w:pStyle w:val="null3"/>
            </w:pPr>
            <w:r>
              <w:rPr>
                <w:rFonts w:ascii="仿宋_GB2312" w:hAnsi="仿宋_GB2312" w:cs="仿宋_GB2312" w:eastAsia="仿宋_GB2312"/>
              </w:rPr>
              <w:t>5、通过项目实施，应急统防统治区域小麦病虫危害损失率控制在5%以下。</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2025年3-5月份，根据小麦重大病虫害实际发生危害情况，适时组织实施。（具体时间按甲方要求）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2025年3-5月份，根据小麦重大病虫害实际发生危害情况，适时组织实施。（具体时间按甲方要求）。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华胥镇小麦田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洩湖镇小麦田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领取成交通知书时，提供一正两副纸质版磋商响应文件。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二十二条规定承诺函.docx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供应商需在项目电子化交易系统中按要求上传相应证明文件并进行电子签章，此项审查内容与特定资格条件中的第十项“控股关系查询”为同一审查内容。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二十二条规定承诺函.docx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供应商需在项目电子化交易系统中按要求上传相应证明文件并进行电子签章，此项审查内容与特定资格条件中的第十项“控股关系查询”为同一审查内容。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税收缴纳证明：提供截止至开标时间前一年内任意一个月的缴纳凭据（包含增值税、企业所得税至少一种）；（依法免税的供应商应提供相关文件证明）。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 前六个月内任意一个月的社保缴纳凭据或社保 机构开具的社会保险参保缴纳情况证明；（依法不需要缴纳社会保障资金的供应商应提供相 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 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民用无人驾驶航空器经营许可证或民用无人驾驶航空器运营合格证</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税收缴纳证明：提供截止至开标时间前一年内任意一个月的缴纳凭据（包含增值税、企业所得税至少一种）；（依法免税的供应商应提供相关文件证明）。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民用无人驾驶航空器经营许可证或民用无人驾驶航空器运营合格证</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分项报价.docx 报价表 响应函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二十二条规定承诺函.docx 中小企业声明函 供应商参与政府采购活动的承诺函.docx 标的清单 分项报价.docx 商务条款响应偏离表.docx 响应函 服务条款响应偏离表.docx 供应商认为有必要补充说明的事宜.docx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对磋商文件商务要求、技术要求作出明确响应</w:t>
            </w:r>
          </w:p>
        </w:tc>
        <w:tc>
          <w:tcPr>
            <w:tcW w:type="dxa" w:w="3322"/>
          </w:tcPr>
          <w:p>
            <w:pPr>
              <w:pStyle w:val="null3"/>
            </w:pPr>
            <w:r>
              <w:rPr>
                <w:rFonts w:ascii="仿宋_GB2312" w:hAnsi="仿宋_GB2312" w:cs="仿宋_GB2312" w:eastAsia="仿宋_GB2312"/>
              </w:rPr>
              <w:t>对磋商文件商务要求作出明确响应；对磋商文件技术要求作出明确响应，对不得偏离的要求作了实质性响应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响应文件封面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供应商认为有必要补充说明的事宜.docx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供应商参与政府采购活动的承诺函.docx 分项报价.docx 报价表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中小企业声明函 二十二条规定承诺函.docx 标的清单 分项报价.docx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对磋商文件商务要求、技术要求作出明确响应</w:t>
            </w:r>
          </w:p>
        </w:tc>
        <w:tc>
          <w:tcPr>
            <w:tcW w:type="dxa" w:w="3322"/>
          </w:tcPr>
          <w:p>
            <w:pPr>
              <w:pStyle w:val="null3"/>
            </w:pPr>
            <w:r>
              <w:rPr>
                <w:rFonts w:ascii="仿宋_GB2312" w:hAnsi="仿宋_GB2312" w:cs="仿宋_GB2312" w:eastAsia="仿宋_GB2312"/>
              </w:rPr>
              <w:t>对磋商文件商务要求作出明确响应；对磋商文件技术要求作出明确响应，对不得偏离的要求作了实质性响应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响应文件封面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报价得分，防治技术力量及人员组织配备情况得分，防控药剂得分，以得分高的排序在先。若上述两项得分相同，则由全体磋商小组成员无记名投票，得票高者为第一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若出现综合得分相同时，则依次比较报价得分，防治技术力量及人员组织配备情况得分，防控药剂得分，以得分高的排序在先。若上述两项得分相同，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防治技术力量 及人员组织配备情况 1</w:t>
            </w:r>
          </w:p>
        </w:tc>
        <w:tc>
          <w:tcPr>
            <w:tcW w:type="dxa" w:w="2492"/>
          </w:tcPr>
          <w:p>
            <w:pPr>
              <w:pStyle w:val="null3"/>
            </w:pPr>
            <w:r>
              <w:rPr>
                <w:rFonts w:ascii="仿宋_GB2312" w:hAnsi="仿宋_GB2312" w:cs="仿宋_GB2312" w:eastAsia="仿宋_GB2312"/>
              </w:rPr>
              <w:t>具有5名农作物病虫害防治技术人员的计3分，以农药使用、病虫害防治等植保技术培训合格证或相关专业毕业证书为准，提供不全的或未提供的不计分；防治机构在农业植保部门备案的农作物病虫害专业化统防统治组织的增加2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 2</w:t>
            </w:r>
          </w:p>
        </w:tc>
        <w:tc>
          <w:tcPr>
            <w:tcW w:type="dxa" w:w="2492"/>
          </w:tcPr>
          <w:p>
            <w:pPr>
              <w:pStyle w:val="null3"/>
            </w:pPr>
            <w:r>
              <w:rPr>
                <w:rFonts w:ascii="仿宋_GB2312" w:hAnsi="仿宋_GB2312" w:cs="仿宋_GB2312" w:eastAsia="仿宋_GB2312"/>
              </w:rPr>
              <w:t>能提供小麦重大病虫害防治的具体实施建议的，内容详细、全面的计6分，内容简单、笼统的计3分，内容未针对本项目或提供的实施内容条理不清晰的计1分。未提供相关内容的不计分。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 3</w:t>
            </w:r>
          </w:p>
        </w:tc>
        <w:tc>
          <w:tcPr>
            <w:tcW w:type="dxa" w:w="2492"/>
          </w:tcPr>
          <w:p>
            <w:pPr>
              <w:pStyle w:val="null3"/>
            </w:pPr>
            <w:r>
              <w:rPr>
                <w:rFonts w:ascii="仿宋_GB2312" w:hAnsi="仿宋_GB2312" w:cs="仿宋_GB2312" w:eastAsia="仿宋_GB2312"/>
              </w:rPr>
              <w:t>农作物病虫害防治技术人员（在5名的基础上）每增加1名加1分，总分5分。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防控药剂1</w:t>
            </w:r>
          </w:p>
        </w:tc>
        <w:tc>
          <w:tcPr>
            <w:tcW w:type="dxa" w:w="2492"/>
          </w:tcPr>
          <w:p>
            <w:pPr>
              <w:pStyle w:val="null3"/>
            </w:pPr>
            <w:r>
              <w:rPr>
                <w:rFonts w:ascii="仿宋_GB2312" w:hAnsi="仿宋_GB2312" w:cs="仿宋_GB2312" w:eastAsia="仿宋_GB2312"/>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防控药剂2</w:t>
            </w:r>
          </w:p>
        </w:tc>
        <w:tc>
          <w:tcPr>
            <w:tcW w:type="dxa" w:w="2492"/>
          </w:tcPr>
          <w:p>
            <w:pPr>
              <w:pStyle w:val="null3"/>
            </w:pPr>
            <w:r>
              <w:rPr>
                <w:rFonts w:ascii="仿宋_GB2312" w:hAnsi="仿宋_GB2312" w:cs="仿宋_GB2312" w:eastAsia="仿宋_GB2312"/>
              </w:rPr>
              <w:t>农药产品三证齐全（农药登记证、农药生产许可证、农药产品标准证）、肥料产品需提供肥料登记证、必须使用航化助剂并提供航化助剂产品资料，计6 分，提供不全的不得分。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服务方案具体详细、人员及设备安排合理等的计6分，内容不够详细、具体的或只有框架无具体内容的或欠缺的计3分，人员或设备安排不合理的或薄弱的计1分。未提供相关内容的不计分。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防作业安全保障措施：确保人员、环境安全，合理化建议等。内容全面、时间安排合理，服务区域明确，重点任务明确、可行性强的计8分；时间安排不合理的或对项目重点任务不了解的计5分；无人员及环境安全内容的或内容条理不清晰的或不具备可行性的计3分；合理化建议无针对性或保障措施内容欠缺的计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全面、科学、合理、可行的计6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 1</w:t>
            </w:r>
          </w:p>
        </w:tc>
        <w:tc>
          <w:tcPr>
            <w:tcW w:type="dxa" w:w="2492"/>
          </w:tcPr>
          <w:p>
            <w:pPr>
              <w:pStyle w:val="null3"/>
            </w:pPr>
            <w:r>
              <w:rPr>
                <w:rFonts w:ascii="仿宋_GB2312" w:hAnsi="仿宋_GB2312" w:cs="仿宋_GB2312" w:eastAsia="仿宋_GB2312"/>
              </w:rPr>
              <w:t>具备植保无人机系统操作手合格证的飞手不少于 8 名（以合格证为准），少一名人员扣 1分，共5分，5分扣完为止。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 2</w:t>
            </w:r>
          </w:p>
        </w:tc>
        <w:tc>
          <w:tcPr>
            <w:tcW w:type="dxa" w:w="2492"/>
          </w:tcPr>
          <w:p>
            <w:pPr>
              <w:pStyle w:val="null3"/>
            </w:pPr>
            <w:r>
              <w:rPr>
                <w:rFonts w:ascii="仿宋_GB2312" w:hAnsi="仿宋_GB2312" w:cs="仿宋_GB2312" w:eastAsia="仿宋_GB2312"/>
              </w:rPr>
              <w:t>开展航化作业的无人机设备（载药量 30 公斤以上）不少于6架（需提供购机发票、付款凭证等），每少一架无人机扣 1 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航化作业监管系统.docx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具有完善的质量保证措施，逻辑性和可操作性强，防效不得低于85%，以2023年1月至今病虫防控作业防效评估报告为准，每提供1个得1分，共3分。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作业质量服务承诺.docx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以合同形式提供供应商2023年1月至今同类项目业绩，一份计1分，共5分。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防治技术力量 及人员组织配备情况 1</w:t>
            </w:r>
          </w:p>
        </w:tc>
        <w:tc>
          <w:tcPr>
            <w:tcW w:type="dxa" w:w="2492"/>
          </w:tcPr>
          <w:p>
            <w:pPr>
              <w:pStyle w:val="null3"/>
            </w:pPr>
            <w:r>
              <w:rPr>
                <w:rFonts w:ascii="仿宋_GB2312" w:hAnsi="仿宋_GB2312" w:cs="仿宋_GB2312" w:eastAsia="仿宋_GB2312"/>
              </w:rPr>
              <w:t>具有5名农作物病虫害防治技术人员的计3分，以农药使用、病虫害防治等植保技术培训合格证或相关专业毕业证书为准，提供不全的或未提供的不计分；防治机构在农业植保部门备案的农作物病虫害专业化统防统治组织的增加2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 2</w:t>
            </w:r>
          </w:p>
        </w:tc>
        <w:tc>
          <w:tcPr>
            <w:tcW w:type="dxa" w:w="2492"/>
          </w:tcPr>
          <w:p>
            <w:pPr>
              <w:pStyle w:val="null3"/>
            </w:pPr>
            <w:r>
              <w:rPr>
                <w:rFonts w:ascii="仿宋_GB2312" w:hAnsi="仿宋_GB2312" w:cs="仿宋_GB2312" w:eastAsia="仿宋_GB2312"/>
              </w:rPr>
              <w:t>能提供小麦重大病虫害防治的具体实施建议的，内容详细、全面的计6分，内容简单、笼统的计3分，内容未针对本项目或提供的实施内容条理不清晰的计1分。未提供相关内容的不计分。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 3</w:t>
            </w:r>
          </w:p>
        </w:tc>
        <w:tc>
          <w:tcPr>
            <w:tcW w:type="dxa" w:w="2492"/>
          </w:tcPr>
          <w:p>
            <w:pPr>
              <w:pStyle w:val="null3"/>
            </w:pPr>
            <w:r>
              <w:rPr>
                <w:rFonts w:ascii="仿宋_GB2312" w:hAnsi="仿宋_GB2312" w:cs="仿宋_GB2312" w:eastAsia="仿宋_GB2312"/>
              </w:rPr>
              <w:t>农作物病虫害防治技术人员（在5名的基础上）每增加1名加1分，总分5分。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防控药剂1</w:t>
            </w:r>
          </w:p>
        </w:tc>
        <w:tc>
          <w:tcPr>
            <w:tcW w:type="dxa" w:w="2492"/>
          </w:tcPr>
          <w:p>
            <w:pPr>
              <w:pStyle w:val="null3"/>
            </w:pPr>
            <w:r>
              <w:rPr>
                <w:rFonts w:ascii="仿宋_GB2312" w:hAnsi="仿宋_GB2312" w:cs="仿宋_GB2312" w:eastAsia="仿宋_GB2312"/>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防控药剂2</w:t>
            </w:r>
          </w:p>
        </w:tc>
        <w:tc>
          <w:tcPr>
            <w:tcW w:type="dxa" w:w="2492"/>
          </w:tcPr>
          <w:p>
            <w:pPr>
              <w:pStyle w:val="null3"/>
            </w:pPr>
            <w:r>
              <w:rPr>
                <w:rFonts w:ascii="仿宋_GB2312" w:hAnsi="仿宋_GB2312" w:cs="仿宋_GB2312" w:eastAsia="仿宋_GB2312"/>
              </w:rPr>
              <w:t>农药产品三证齐全（农药登记证、农药生产许可证、农药产品标准证）、肥料产品需提供肥料登记证、必须使用航化助剂并提供航化助剂产品资料，计6 分，提供不全的不得分。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服务方案具体详细、人员及设备安排合理等的计6分，内容不够详细、具体的或只有框架无具体内容的或欠缺的计3分，人员或设备安排不合理的或薄弱的计1分。未提供相关内容的不计分。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防作业安全保障措施：确保人员、环境安全，合理化建议等。内容全面、时间安排合理，服务区域明确，重点任务明确、可行性强的计8分；时间安排不合理的或对项目重点任务不了解的计5分；无人员及环境安全内容的或内容条理不清晰的或不具备可行性的计3分；合理化建议无针对性或保障措施内容欠缺的计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全面、科学、合理、可行的计6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 1</w:t>
            </w:r>
          </w:p>
        </w:tc>
        <w:tc>
          <w:tcPr>
            <w:tcW w:type="dxa" w:w="2492"/>
          </w:tcPr>
          <w:p>
            <w:pPr>
              <w:pStyle w:val="null3"/>
            </w:pPr>
            <w:r>
              <w:rPr>
                <w:rFonts w:ascii="仿宋_GB2312" w:hAnsi="仿宋_GB2312" w:cs="仿宋_GB2312" w:eastAsia="仿宋_GB2312"/>
              </w:rPr>
              <w:t>具备植保无人机系统操作手合格证的飞手不少于 8 名（以合格证为准），少一名人员扣 1分，共5分，5分扣完为止。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 2</w:t>
            </w:r>
          </w:p>
        </w:tc>
        <w:tc>
          <w:tcPr>
            <w:tcW w:type="dxa" w:w="2492"/>
          </w:tcPr>
          <w:p>
            <w:pPr>
              <w:pStyle w:val="null3"/>
            </w:pPr>
            <w:r>
              <w:rPr>
                <w:rFonts w:ascii="仿宋_GB2312" w:hAnsi="仿宋_GB2312" w:cs="仿宋_GB2312" w:eastAsia="仿宋_GB2312"/>
              </w:rPr>
              <w:t>开展航化作业的无人机设备（载药量 30 公斤以上）不少于6架（需提供购机发票、付款凭证等），每少一架无人机扣 1 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航化作业监管系统.docx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具有完善的质量保证措施，逻辑性和可操作性强，防效不得低于85%，以2023年1月至今病虫防控作业防效评估报告为准，每提供1个得1分，共3分。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作业质量服务承诺.docx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以合同形式提供供应商2023年1月至今同类项目业绩，一份计1分，共5分。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详见附件：防控药剂.docx</w:t>
      </w:r>
    </w:p>
    <w:p>
      <w:pPr>
        <w:pStyle w:val="null3"/>
        <w:ind w:firstLine="960"/>
      </w:pPr>
      <w:r>
        <w:rPr>
          <w:rFonts w:ascii="仿宋_GB2312" w:hAnsi="仿宋_GB2312" w:cs="仿宋_GB2312" w:eastAsia="仿宋_GB2312"/>
        </w:rPr>
        <w:t>详见附件：防治技术力量及人员组织配备情况.docx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详见附件：航化作业监管系统.docx</w:t>
      </w:r>
    </w:p>
    <w:p>
      <w:pPr>
        <w:pStyle w:val="null3"/>
        <w:ind w:firstLine="960"/>
      </w:pPr>
      <w:r>
        <w:rPr>
          <w:rFonts w:ascii="仿宋_GB2312" w:hAnsi="仿宋_GB2312" w:cs="仿宋_GB2312" w:eastAsia="仿宋_GB2312"/>
        </w:rPr>
        <w:t>详见附件：航化作业组织的规模、能力.docx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详见附件：作业质量服务承诺.docx</w:t>
      </w:r>
    </w:p>
    <w:p>
      <w:pPr>
        <w:pStyle w:val="null3"/>
        <w:ind w:firstLine="960"/>
      </w:pPr>
      <w:r>
        <w:rPr>
          <w:rFonts w:ascii="仿宋_GB2312" w:hAnsi="仿宋_GB2312" w:cs="仿宋_GB2312" w:eastAsia="仿宋_GB2312"/>
        </w:rPr>
        <w:t>详见附件：二十二条规定承诺函.docx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详见附件：防控药剂.docx</w:t>
      </w:r>
    </w:p>
    <w:p>
      <w:pPr>
        <w:pStyle w:val="null3"/>
        <w:ind w:firstLine="960"/>
      </w:pPr>
      <w:r>
        <w:rPr>
          <w:rFonts w:ascii="仿宋_GB2312" w:hAnsi="仿宋_GB2312" w:cs="仿宋_GB2312" w:eastAsia="仿宋_GB2312"/>
        </w:rPr>
        <w:t>详见附件：防治技术力量及人员组织配备情况.docx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详见附件：航化作业监管系统.docx</w:t>
      </w:r>
    </w:p>
    <w:p>
      <w:pPr>
        <w:pStyle w:val="null3"/>
        <w:ind w:firstLine="960"/>
      </w:pPr>
      <w:r>
        <w:rPr>
          <w:rFonts w:ascii="仿宋_GB2312" w:hAnsi="仿宋_GB2312" w:cs="仿宋_GB2312" w:eastAsia="仿宋_GB2312"/>
        </w:rPr>
        <w:t>详见附件：航化作业组织的规模、能力.docx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详见附件：作业质量服务承诺.docx</w:t>
      </w:r>
    </w:p>
    <w:p>
      <w:pPr>
        <w:pStyle w:val="null3"/>
        <w:ind w:firstLine="960"/>
      </w:pPr>
      <w:r>
        <w:rPr>
          <w:rFonts w:ascii="仿宋_GB2312" w:hAnsi="仿宋_GB2312" w:cs="仿宋_GB2312" w:eastAsia="仿宋_GB2312"/>
        </w:rPr>
        <w:t>详见附件：二十二条规定承诺函.docx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