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版本号：SDZC2025---02720250311001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2024年部分省级农业专项资金项目（粮油绿色高效提单产）</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SDZC2025---027</w:t>
      </w:r>
      <w:r>
        <w:br/>
      </w:r>
      <w:r>
        <w:br/>
      </w:r>
      <w:r>
        <w:br/>
      </w:r>
    </w:p>
    <w:p>
      <w:pPr>
        <w:pStyle w:val="null3"/>
        <w:jc w:val="center"/>
        <w:outlineLvl w:val="2"/>
      </w:pPr>
      <w:r>
        <w:rPr>
          <w:rFonts w:ascii="仿宋_GB2312" w:hAnsi="仿宋_GB2312" w:cs="仿宋_GB2312" w:eastAsia="仿宋_GB2312"/>
          <w:sz w:val="28"/>
          <w:b/>
        </w:rPr>
        <w:t>西安市蓝田县农业技术推广中心</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西安市蓝田县农业技术推广中心</w:t>
      </w:r>
      <w:r>
        <w:rPr>
          <w:rFonts w:ascii="仿宋_GB2312" w:hAnsi="仿宋_GB2312" w:cs="仿宋_GB2312" w:eastAsia="仿宋_GB2312"/>
        </w:rPr>
        <w:t>委托，拟对</w:t>
      </w:r>
      <w:r>
        <w:rPr>
          <w:rFonts w:ascii="仿宋_GB2312" w:hAnsi="仿宋_GB2312" w:cs="仿宋_GB2312" w:eastAsia="仿宋_GB2312"/>
        </w:rPr>
        <w:t>2024年部分省级农业专项资金项目（粮油绿色高效提单产）</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SDZC2025---027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2024年部分省级农业专项资金项目（粮油绿色高效提单产）</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建立小麦万亩示范区2个、玉米万亩示范区1个，油菜示范0.24万亩，实现示范区增产增收，采购种子、肥料、除草剂等农资。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采购包1（第一标段：前卫镇、孟村镇、三官庙镇）：属于专门面向中小企业采购。</w:t>
      </w:r>
    </w:p>
    <w:p>
      <w:pPr>
        <w:pStyle w:val="null3"/>
      </w:pPr>
      <w:r>
        <w:rPr>
          <w:rFonts w:ascii="仿宋_GB2312" w:hAnsi="仿宋_GB2312" w:cs="仿宋_GB2312" w:eastAsia="仿宋_GB2312"/>
        </w:rPr>
        <w:t>采购包2（第二标段：汤峪镇（小麦田））：属于专门面向中小企业采购。</w:t>
      </w:r>
    </w:p>
    <w:p>
      <w:pPr>
        <w:pStyle w:val="null3"/>
      </w:pPr>
      <w:r>
        <w:rPr>
          <w:rFonts w:ascii="仿宋_GB2312" w:hAnsi="仿宋_GB2312" w:cs="仿宋_GB2312" w:eastAsia="仿宋_GB2312"/>
        </w:rPr>
        <w:t>采购包3（第三标段：汤峪镇（玉米田））：属于专门面向中小企业采购。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p>
      <w:pPr>
        <w:pStyle w:val="null3"/>
      </w:pPr>
      <w:r>
        <w:rPr>
          <w:rFonts w:ascii="仿宋_GB2312" w:hAnsi="仿宋_GB2312" w:cs="仿宋_GB2312" w:eastAsia="仿宋_GB2312"/>
        </w:rPr>
        <w:t>8、供应商为生产厂家的提供有效期内的肥料登记证或农业农村部登记备案证明；供应商为代理商的提供厂家的肥料登记证或备案证明材料 ：供应商为生产厂家的提供有效期内的肥料登记证或农业农村部登记备案证明；供应商为代理商的提供厂家的肥料登记证或备案证明材料。</w:t>
      </w:r>
    </w:p>
    <w:p>
      <w:pPr>
        <w:pStyle w:val="null3"/>
      </w:pPr>
      <w:r>
        <w:rPr>
          <w:rFonts w:ascii="仿宋_GB2312" w:hAnsi="仿宋_GB2312" w:cs="仿宋_GB2312" w:eastAsia="仿宋_GB2312"/>
        </w:rPr>
        <w:t>9、供应商提供农作物种子生产经营许可证：供应商提供农作物种子生产经营许可证；</w:t>
      </w:r>
    </w:p>
    <w:p>
      <w:pPr>
        <w:pStyle w:val="null3"/>
      </w:pPr>
      <w:r>
        <w:rPr>
          <w:rFonts w:ascii="仿宋_GB2312" w:hAnsi="仿宋_GB2312" w:cs="仿宋_GB2312" w:eastAsia="仿宋_GB2312"/>
        </w:rPr>
        <w:t>10、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rFonts w:ascii="仿宋_GB2312" w:hAnsi="仿宋_GB2312" w:cs="仿宋_GB2312" w:eastAsia="仿宋_GB2312"/>
        </w:rPr>
        <w:t>11、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12、控股关系查询：单位负责人为同一人或者存在直接控股、管理关系的不同供应商，不得参加同一合同项下的政府采购活动。(根据财库【2019】38号文规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p>
      <w:pPr>
        <w:pStyle w:val="null3"/>
      </w:pPr>
      <w:r>
        <w:rPr>
          <w:rFonts w:ascii="仿宋_GB2312" w:hAnsi="仿宋_GB2312" w:cs="仿宋_GB2312" w:eastAsia="仿宋_GB2312"/>
        </w:rPr>
        <w:t>8、供应商为生产厂家的提供有效期内的肥料登记证或农业农村部登记备案证明；供应商为代理商的提供厂家的肥料登记证或备案证明材料 ：供应商为生产厂家的提供有效期内的肥料登记证或农业农村部登记备案证明；供应商为代理商的提供厂家的肥料登记证或备案证明材料。</w:t>
      </w:r>
    </w:p>
    <w:p>
      <w:pPr>
        <w:pStyle w:val="null3"/>
      </w:pPr>
      <w:r>
        <w:rPr>
          <w:rFonts w:ascii="仿宋_GB2312" w:hAnsi="仿宋_GB2312" w:cs="仿宋_GB2312" w:eastAsia="仿宋_GB2312"/>
        </w:rPr>
        <w:t>9、供应商提供农作物种子生产经营许可证：供应商提供农作物种子生产经营许可证；</w:t>
      </w:r>
    </w:p>
    <w:p>
      <w:pPr>
        <w:pStyle w:val="null3"/>
      </w:pPr>
      <w:r>
        <w:rPr>
          <w:rFonts w:ascii="仿宋_GB2312" w:hAnsi="仿宋_GB2312" w:cs="仿宋_GB2312" w:eastAsia="仿宋_GB2312"/>
        </w:rPr>
        <w:t>10、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rFonts w:ascii="仿宋_GB2312" w:hAnsi="仿宋_GB2312" w:cs="仿宋_GB2312" w:eastAsia="仿宋_GB2312"/>
        </w:rPr>
        <w:t>11、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12、控股关系查询：单位负责人为同一人或者存在直接控股、管理关系的不同供应商，不得参加同一合同项下的政府采购活动。(根据财库【2019】38号文规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1、提供供应商合法注册的法人或其他组织的营业执照等证明文件、自然人的身份证明：提供供应商合法注册的法人或其他组织的营业执照等证明文件、自然人的身份证明。</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p>
      <w:pPr>
        <w:pStyle w:val="null3"/>
      </w:pPr>
      <w:r>
        <w:rPr>
          <w:rFonts w:ascii="仿宋_GB2312" w:hAnsi="仿宋_GB2312" w:cs="仿宋_GB2312" w:eastAsia="仿宋_GB2312"/>
        </w:rPr>
        <w:t>8、供应商为生产厂家的提供有效期内的肥料登记证或农业农村部登记备案证明；供应商为代理商的提供厂家的肥料登记证或备案证明材料 ：供应商为生产厂家的提供有效期内的肥料登记证或农业农村部登记备案证明；供应商为代理商的提供厂家的肥料登记证或备案证明材料。</w:t>
      </w:r>
    </w:p>
    <w:p>
      <w:pPr>
        <w:pStyle w:val="null3"/>
      </w:pPr>
      <w:r>
        <w:rPr>
          <w:rFonts w:ascii="仿宋_GB2312" w:hAnsi="仿宋_GB2312" w:cs="仿宋_GB2312" w:eastAsia="仿宋_GB2312"/>
        </w:rPr>
        <w:t>9、供应商提供农作物种子生产经营许可证：供应商提供农作物种子生产经营许可证；</w:t>
      </w:r>
    </w:p>
    <w:p>
      <w:pPr>
        <w:pStyle w:val="null3"/>
      </w:pPr>
      <w:r>
        <w:rPr>
          <w:rFonts w:ascii="仿宋_GB2312" w:hAnsi="仿宋_GB2312" w:cs="仿宋_GB2312" w:eastAsia="仿宋_GB2312"/>
        </w:rPr>
        <w:t>10、供应商为生产厂家的需提供农药生产许可证；为代理商的需提供农药经营许可证及生产厂家的农药生产许可证：供应商为生产厂家的需提供农药生产许可证；为代理商的需提供农药经营许可证及生产厂家的农药生产许可证；</w:t>
      </w:r>
    </w:p>
    <w:p>
      <w:pPr>
        <w:pStyle w:val="null3"/>
      </w:pPr>
      <w:r>
        <w:rPr>
          <w:rFonts w:ascii="仿宋_GB2312" w:hAnsi="仿宋_GB2312" w:cs="仿宋_GB2312" w:eastAsia="仿宋_GB2312"/>
        </w:rPr>
        <w:t>11、信用截图：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p>
      <w:pPr>
        <w:pStyle w:val="null3"/>
      </w:pPr>
      <w:r>
        <w:rPr>
          <w:rFonts w:ascii="仿宋_GB2312" w:hAnsi="仿宋_GB2312" w:cs="仿宋_GB2312" w:eastAsia="仿宋_GB2312"/>
        </w:rPr>
        <w:t>12、控股关系查询：单位负责人为同一人或者存在直接控股、管理关系的不同供应商，不得参加同一合同项下的政府采购活动。(根据财库【2019】38号文规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蓝田县北环路18号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15129569522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西安市经开区凤城八路正尚国际金融广场A座7层703（张家堡转盘东南角）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宋芳芳（11号工位）、王涛、魏蕾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029-86518381、029-89299829、029-89293231 转8011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采购包2：495,000.00元</w:t>
            </w:r>
          </w:p>
          <w:p>
            <w:pPr>
              <w:pStyle w:val="null3"/>
            </w:pPr>
            <w:r>
              <w:rPr>
                <w:rFonts w:ascii="仿宋_GB2312" w:hAnsi="仿宋_GB2312" w:cs="仿宋_GB2312" w:eastAsia="仿宋_GB2312"/>
              </w:rPr>
              <w:t>采购包3：465,000.00元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 1.开户行名称：陕西上德招标有限公司 2.开 户 行：西安银行股份有限公司文景路支行 3.帐 号：7070 1151 0000 0135 22 财务部联系方式：029-86673953、86518381、89299829、89293231 转8033 备注：投标人在汇款时须注明项目编号+项目简称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西安市蓝田县农业技术推广中心</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西安市蓝田县农业技术推广中心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陕西上德招标有限公司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采购人应按照采购文件技术等内容对供应商的履约情况进行验收。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采购人应按照采购文件技术等内容对供应商的履约情况进行验收。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采购人应按照采购文件技术等内容对供应商的履约情况进行验收。</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联系人：宋芳芳(11号工位)</w:t>
      </w:r>
    </w:p>
    <w:p>
      <w:pPr>
        <w:pStyle w:val="null3"/>
      </w:pPr>
      <w:r>
        <w:rPr>
          <w:rFonts w:ascii="仿宋_GB2312" w:hAnsi="仿宋_GB2312" w:cs="仿宋_GB2312" w:eastAsia="仿宋_GB2312"/>
        </w:rPr>
        <w:t>联系电话：029-86673953、029-86518381、029-89299829、029-89293231 转8011</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建立小麦万亩示范区2个、玉米万亩示范区1个，油菜示范0.24万亩，实现示范区增产增收，采购种子、肥料、除草剂等农资。</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第一标段：前卫镇、孟村镇、三官庙镇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495,000.00</w:t>
      </w:r>
    </w:p>
    <w:p>
      <w:pPr>
        <w:pStyle w:val="null3"/>
      </w:pPr>
      <w:r>
        <w:rPr>
          <w:rFonts w:ascii="仿宋_GB2312" w:hAnsi="仿宋_GB2312" w:cs="仿宋_GB2312" w:eastAsia="仿宋_GB2312"/>
        </w:rPr>
        <w:t>采购包最高限价（元）: 495,000.00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第二标段：汤峪镇（小麦田）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465,000.00</w:t>
      </w:r>
    </w:p>
    <w:p>
      <w:pPr>
        <w:pStyle w:val="null3"/>
      </w:pPr>
      <w:r>
        <w:rPr>
          <w:rFonts w:ascii="仿宋_GB2312" w:hAnsi="仿宋_GB2312" w:cs="仿宋_GB2312" w:eastAsia="仿宋_GB2312"/>
        </w:rPr>
        <w:t>采购包最高限价（元）: 465,000.00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第三标段：汤峪镇（玉米田）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标的名称：第一标段：前卫镇、孟村镇、三官庙镇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采购内容及技术要求</w:t>
            </w:r>
          </w:p>
        </w:tc>
        <w:tc>
          <w:tcPr>
            <w:tcW w:type="dxa" w:w="2076"/>
          </w:tcPr>
          <w:tbl>
            <w:tblPr>
              <w:tblBorders>
                <w:top w:val="single"/>
                <w:left w:val="single"/>
                <w:bottom w:val="single"/>
                <w:right w:val="single"/>
                <w:insideH w:val="single"/>
                <w:insideV w:val="single"/>
              </w:tblBorders>
            </w:tblPr>
            <w:tblGrid>
              <w:gridCol w:w="465"/>
              <w:gridCol w:w="465"/>
              <w:gridCol w:w="465"/>
              <w:gridCol w:w="465"/>
            </w:tblGrid>
            <w:tr>
              <w:tc>
                <w:tcPr>
                  <w:tcW w:type="dxa" w:w="465"/>
                  <w:vMerge w:val="restart"/>
                </w:tcPr>
                <w:p>
                  <w:pPr>
                    <w:pStyle w:val="null3"/>
                  </w:pPr>
                  <w:r>
                    <w:rPr>
                      <w:rFonts w:ascii="仿宋_GB2312" w:hAnsi="仿宋_GB2312" w:cs="仿宋_GB2312" w:eastAsia="仿宋_GB2312"/>
                    </w:rPr>
                    <w:t>种子</w:t>
                  </w:r>
                </w:p>
              </w:tc>
              <w:tc>
                <w:tcPr>
                  <w:tcW w:type="dxa" w:w="465"/>
                </w:tcPr>
                <w:p>
                  <w:pPr>
                    <w:pStyle w:val="null3"/>
                  </w:pPr>
                  <w:r>
                    <w:rPr>
                      <w:rFonts w:ascii="仿宋_GB2312" w:hAnsi="仿宋_GB2312" w:cs="仿宋_GB2312" w:eastAsia="仿宋_GB2312"/>
                    </w:rPr>
                    <w:t>小麦</w:t>
                  </w:r>
                </w:p>
              </w:tc>
              <w:tc>
                <w:tcPr>
                  <w:tcW w:type="dxa" w:w="465"/>
                </w:tcPr>
                <w:p>
                  <w:pPr>
                    <w:pStyle w:val="null3"/>
                  </w:pPr>
                  <w:r>
                    <w:rPr>
                      <w:rFonts w:ascii="仿宋_GB2312" w:hAnsi="仿宋_GB2312" w:cs="仿宋_GB2312" w:eastAsia="仿宋_GB2312"/>
                    </w:rPr>
                    <w:t>30吨</w:t>
                  </w:r>
                </w:p>
              </w:tc>
              <w:tc>
                <w:tcPr>
                  <w:tcW w:type="dxa" w:w="465"/>
                </w:tcPr>
                <w:p>
                  <w:pPr>
                    <w:pStyle w:val="null3"/>
                    <w:jc w:val="both"/>
                  </w:pPr>
                  <w:r>
                    <w:rPr>
                      <w:rFonts w:ascii="仿宋_GB2312" w:hAnsi="仿宋_GB2312" w:cs="仿宋_GB2312" w:eastAsia="仿宋_GB2312"/>
                    </w:rPr>
                    <w:t>纯度≥97.0%，净度≥99.0%，发芽率≥85%，水分≤13.0%，执行标准GB1315-2008（小麦品种符合市农技发【2024】91号推荐品种及适宜蓝田地区种植品种）。</w:t>
                  </w:r>
                </w:p>
              </w:tc>
            </w:tr>
            <w:tr>
              <w:tc>
                <w:tcPr>
                  <w:tcW w:type="dxa" w:w="465"/>
                  <w:vMerge/>
                </w:tcPr>
                <w:p/>
              </w:tc>
              <w:tc>
                <w:tcPr>
                  <w:tcW w:type="dxa" w:w="465"/>
                </w:tcPr>
                <w:p>
                  <w:pPr>
                    <w:pStyle w:val="null3"/>
                  </w:pPr>
                  <w:r>
                    <w:rPr>
                      <w:rFonts w:ascii="仿宋_GB2312" w:hAnsi="仿宋_GB2312" w:cs="仿宋_GB2312" w:eastAsia="仿宋_GB2312"/>
                    </w:rPr>
                    <w:t>油菜</w:t>
                  </w:r>
                </w:p>
              </w:tc>
              <w:tc>
                <w:tcPr>
                  <w:tcW w:type="dxa" w:w="465"/>
                </w:tcPr>
                <w:p>
                  <w:pPr>
                    <w:pStyle w:val="null3"/>
                  </w:pPr>
                  <w:r>
                    <w:rPr>
                      <w:rFonts w:ascii="仿宋_GB2312" w:hAnsi="仿宋_GB2312" w:cs="仿宋_GB2312" w:eastAsia="仿宋_GB2312"/>
                    </w:rPr>
                    <w:t>7200袋</w:t>
                  </w:r>
                </w:p>
              </w:tc>
              <w:tc>
                <w:tcPr>
                  <w:tcW w:type="dxa" w:w="465"/>
                </w:tcPr>
                <w:p>
                  <w:pPr>
                    <w:pStyle w:val="null3"/>
                  </w:pPr>
                  <w:r>
                    <w:rPr>
                      <w:rFonts w:ascii="仿宋_GB2312" w:hAnsi="仿宋_GB2312" w:cs="仿宋_GB2312" w:eastAsia="仿宋_GB2312"/>
                    </w:rPr>
                    <w:t>每袋≥90克，纯度≥85.0%，净度≥98.0%，发芽率﹥80%，水分≤9.0%（油菜品种符合市农技发【2024】89号推荐品种及适宜蓝田地区种植品种）</w:t>
                  </w:r>
                </w:p>
              </w:tc>
            </w:tr>
            <w:tr>
              <w:tc>
                <w:tcPr>
                  <w:tcW w:type="dxa" w:w="465"/>
                  <w:vMerge w:val="restart"/>
                </w:tcPr>
                <w:p>
                  <w:pPr>
                    <w:pStyle w:val="null3"/>
                  </w:pPr>
                  <w:r>
                    <w:rPr>
                      <w:rFonts w:ascii="仿宋_GB2312" w:hAnsi="仿宋_GB2312" w:cs="仿宋_GB2312" w:eastAsia="仿宋_GB2312"/>
                    </w:rPr>
                    <w:t>肥料</w:t>
                  </w:r>
                </w:p>
              </w:tc>
              <w:tc>
                <w:tcPr>
                  <w:tcW w:type="dxa" w:w="465"/>
                </w:tcPr>
                <w:p>
                  <w:pPr>
                    <w:pStyle w:val="null3"/>
                  </w:pPr>
                  <w:r>
                    <w:rPr>
                      <w:rFonts w:ascii="仿宋_GB2312" w:hAnsi="仿宋_GB2312" w:cs="仿宋_GB2312" w:eastAsia="仿宋_GB2312"/>
                    </w:rPr>
                    <w:t>尿素</w:t>
                  </w:r>
                </w:p>
              </w:tc>
              <w:tc>
                <w:tcPr>
                  <w:tcW w:type="dxa" w:w="465"/>
                </w:tcPr>
                <w:p>
                  <w:pPr>
                    <w:pStyle w:val="null3"/>
                  </w:pPr>
                  <w:r>
                    <w:rPr>
                      <w:rFonts w:ascii="仿宋_GB2312" w:hAnsi="仿宋_GB2312" w:cs="仿宋_GB2312" w:eastAsia="仿宋_GB2312"/>
                    </w:rPr>
                    <w:t>38吨</w:t>
                  </w:r>
                </w:p>
              </w:tc>
              <w:tc>
                <w:tcPr>
                  <w:tcW w:type="dxa" w:w="465"/>
                </w:tcPr>
                <w:p>
                  <w:pPr>
                    <w:pStyle w:val="null3"/>
                  </w:pPr>
                  <w:r>
                    <w:rPr>
                      <w:rFonts w:ascii="仿宋_GB2312" w:hAnsi="仿宋_GB2312" w:cs="仿宋_GB2312" w:eastAsia="仿宋_GB2312"/>
                    </w:rPr>
                    <w:t>总氮含量≥46%，粒度范围：d 0.85mm-2.80mm，执行标准GB/T2440-2017。</w:t>
                  </w:r>
                </w:p>
              </w:tc>
            </w:tr>
            <w:tr>
              <w:tc>
                <w:tcPr>
                  <w:tcW w:type="dxa" w:w="465"/>
                  <w:vMerge/>
                </w:tcPr>
                <w:p/>
              </w:tc>
              <w:tc>
                <w:tcPr>
                  <w:tcW w:type="dxa" w:w="465"/>
                </w:tcPr>
                <w:p>
                  <w:pPr>
                    <w:pStyle w:val="null3"/>
                  </w:pPr>
                  <w:r>
                    <w:rPr>
                      <w:rFonts w:ascii="仿宋_GB2312" w:hAnsi="仿宋_GB2312" w:cs="仿宋_GB2312" w:eastAsia="仿宋_GB2312"/>
                    </w:rPr>
                    <w:t>配方肥</w:t>
                  </w:r>
                </w:p>
                <w:p>
                  <w:pPr>
                    <w:pStyle w:val="null3"/>
                  </w:pPr>
                  <w:r>
                    <w:rPr>
                      <w:rFonts w:ascii="仿宋_GB2312" w:hAnsi="仿宋_GB2312" w:cs="仿宋_GB2312" w:eastAsia="仿宋_GB2312"/>
                    </w:rPr>
                    <w:t>(油菜)</w:t>
                  </w:r>
                </w:p>
              </w:tc>
              <w:tc>
                <w:tcPr>
                  <w:tcW w:type="dxa" w:w="465"/>
                </w:tcPr>
                <w:p>
                  <w:pPr>
                    <w:pStyle w:val="null3"/>
                  </w:pPr>
                  <w:r>
                    <w:rPr>
                      <w:rFonts w:ascii="仿宋_GB2312" w:hAnsi="仿宋_GB2312" w:cs="仿宋_GB2312" w:eastAsia="仿宋_GB2312"/>
                    </w:rPr>
                    <w:t>4吨</w:t>
                  </w:r>
                </w:p>
              </w:tc>
              <w:tc>
                <w:tcPr>
                  <w:tcW w:type="dxa" w:w="465"/>
                </w:tcPr>
                <w:p>
                  <w:pPr>
                    <w:pStyle w:val="null3"/>
                  </w:pPr>
                  <w:r>
                    <w:rPr>
                      <w:rFonts w:ascii="仿宋_GB2312" w:hAnsi="仿宋_GB2312" w:cs="仿宋_GB2312" w:eastAsia="仿宋_GB2312"/>
                    </w:rPr>
                    <w:t>总养分≥40.0%，N≥18，P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≥14，K</w:t>
                  </w:r>
                  <w:r>
                    <w:rPr>
                      <w:rFonts w:ascii="仿宋_GB2312" w:hAnsi="仿宋_GB2312" w:cs="仿宋_GB2312" w:eastAsia="仿宋_GB2312"/>
                      <w:vertAlign w:val="subscript"/>
                    </w:rPr>
                    <w:t>2</w:t>
                  </w:r>
                  <w:r>
                    <w:rPr>
                      <w:rFonts w:ascii="仿宋_GB2312" w:hAnsi="仿宋_GB2312" w:cs="仿宋_GB2312" w:eastAsia="仿宋_GB2312"/>
                    </w:rPr>
                    <w:t>O≥5；包装40KG/袋，执行标准GB/T15063-2020。</w:t>
                  </w:r>
                </w:p>
              </w:tc>
            </w:tr>
            <w:tr>
              <w:tc>
                <w:tcPr>
                  <w:tcW w:type="dxa" w:w="465"/>
                  <w:vMerge w:val="restart"/>
                </w:tcPr>
                <w:p>
                  <w:pPr>
                    <w:pStyle w:val="null3"/>
                  </w:pPr>
                  <w:r>
                    <w:rPr>
                      <w:rFonts w:ascii="仿宋_GB2312" w:hAnsi="仿宋_GB2312" w:cs="仿宋_GB2312" w:eastAsia="仿宋_GB2312"/>
                    </w:rPr>
                    <w:t>除草剂</w:t>
                  </w:r>
                </w:p>
              </w:tc>
              <w:tc>
                <w:tcPr>
                  <w:tcW w:type="dxa" w:w="465"/>
                </w:tcPr>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唑草·苯磺隆(唑草酮+苯磺隆的二元复配制剂)，药剂总有效成分亩用量≥1.8克，以亩用药剂产品数量为单位包装。</w:t>
                  </w:r>
                </w:p>
              </w:tc>
            </w:tr>
            <w:tr>
              <w:tc>
                <w:tcPr>
                  <w:tcW w:type="dxa" w:w="465"/>
                  <w:vMerge/>
                </w:tcPr>
                <w:p/>
              </w:tc>
              <w:tc>
                <w:tcPr>
                  <w:tcW w:type="dxa" w:w="465"/>
                </w:tcPr>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炔草酯，药剂有效成分亩用量≥3克，以亩用药剂产品数量为单位包装。</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注：核心产品除草剂（唑草·苯磺隆）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标的名称：第二标段：汤峪镇（小麦田）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采购内容及技术要求</w:t>
            </w:r>
          </w:p>
        </w:tc>
        <w:tc>
          <w:tcPr>
            <w:tcW w:type="dxa" w:w="2076"/>
          </w:tcPr>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种子</w:t>
                  </w:r>
                </w:p>
              </w:tc>
              <w:tc>
                <w:tcPr>
                  <w:tcW w:type="dxa" w:w="465"/>
                </w:tcPr>
                <w:p>
                  <w:pPr>
                    <w:pStyle w:val="null3"/>
                  </w:pPr>
                  <w:r>
                    <w:rPr>
                      <w:rFonts w:ascii="仿宋_GB2312" w:hAnsi="仿宋_GB2312" w:cs="仿宋_GB2312" w:eastAsia="仿宋_GB2312"/>
                    </w:rPr>
                    <w:t>小麦</w:t>
                  </w:r>
                </w:p>
              </w:tc>
              <w:tc>
                <w:tcPr>
                  <w:tcW w:type="dxa" w:w="465"/>
                </w:tcPr>
                <w:p>
                  <w:pPr>
                    <w:pStyle w:val="null3"/>
                  </w:pPr>
                  <w:r>
                    <w:rPr>
                      <w:rFonts w:ascii="仿宋_GB2312" w:hAnsi="仿宋_GB2312" w:cs="仿宋_GB2312" w:eastAsia="仿宋_GB2312"/>
                    </w:rPr>
                    <w:t>30吨</w:t>
                  </w:r>
                </w:p>
              </w:tc>
              <w:tc>
                <w:tcPr>
                  <w:tcW w:type="dxa" w:w="465"/>
                </w:tcPr>
                <w:p>
                  <w:pPr>
                    <w:pStyle w:val="null3"/>
                  </w:pPr>
                  <w:r>
                    <w:rPr>
                      <w:rFonts w:ascii="仿宋_GB2312" w:hAnsi="仿宋_GB2312" w:cs="仿宋_GB2312" w:eastAsia="仿宋_GB2312"/>
                    </w:rPr>
                    <w:t>纯度≥97.0%，净度≥99.0%，发芽率≥85%，水分≤13.0%，执行标准GB1315-2008（小麦品种符合市农技发【2024】91号推荐品种及适宜蓝田地区种植品种）。</w:t>
                  </w:r>
                </w:p>
              </w:tc>
            </w:tr>
            <w:tr>
              <w:tc>
                <w:tcPr>
                  <w:tcW w:type="dxa" w:w="465"/>
                  <w:vMerge w:val="restart"/>
                </w:tcPr>
                <w:p>
                  <w:pPr>
                    <w:pStyle w:val="null3"/>
                  </w:pPr>
                  <w:r>
                    <w:rPr>
                      <w:rFonts w:ascii="仿宋_GB2312" w:hAnsi="仿宋_GB2312" w:cs="仿宋_GB2312" w:eastAsia="仿宋_GB2312"/>
                    </w:rPr>
                    <w:t>肥料</w:t>
                  </w:r>
                </w:p>
              </w:tc>
              <w:tc>
                <w:tcPr>
                  <w:tcW w:type="dxa" w:w="465"/>
                </w:tcPr>
                <w:p>
                  <w:pPr>
                    <w:pStyle w:val="null3"/>
                  </w:pPr>
                  <w:r>
                    <w:rPr>
                      <w:rFonts w:ascii="仿宋_GB2312" w:hAnsi="仿宋_GB2312" w:cs="仿宋_GB2312" w:eastAsia="仿宋_GB2312"/>
                    </w:rPr>
                    <w:t>配方肥</w:t>
                  </w:r>
                </w:p>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20吨</w:t>
                  </w:r>
                </w:p>
              </w:tc>
              <w:tc>
                <w:tcPr>
                  <w:tcW w:type="dxa" w:w="465"/>
                </w:tcPr>
                <w:p>
                  <w:pPr>
                    <w:pStyle w:val="null3"/>
                  </w:pPr>
                  <w:r>
                    <w:rPr>
                      <w:rFonts w:ascii="仿宋_GB2312" w:hAnsi="仿宋_GB2312" w:cs="仿宋_GB2312" w:eastAsia="仿宋_GB2312"/>
                    </w:rPr>
                    <w:t>总养分≥45.0%，N≥22， 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≥14， K</w:t>
                  </w:r>
                  <w:r>
                    <w:rPr>
                      <w:rFonts w:ascii="仿宋_GB2312" w:hAnsi="仿宋_GB2312" w:cs="仿宋_GB2312" w:eastAsia="仿宋_GB2312"/>
                      <w:vertAlign w:val="subscript"/>
                    </w:rPr>
                    <w:t>2</w:t>
                  </w:r>
                  <w:r>
                    <w:rPr>
                      <w:rFonts w:ascii="仿宋_GB2312" w:hAnsi="仿宋_GB2312" w:cs="仿宋_GB2312" w:eastAsia="仿宋_GB2312"/>
                    </w:rPr>
                    <w:t>O≥5，包装40KG/袋，执行标准GB/T15063-2020。</w:t>
                  </w:r>
                </w:p>
              </w:tc>
            </w:tr>
            <w:tr>
              <w:tc>
                <w:tcPr>
                  <w:tcW w:type="dxa" w:w="465"/>
                  <w:vMerge/>
                </w:tcPr>
                <w:p/>
              </w:tc>
              <w:tc>
                <w:tcPr>
                  <w:tcW w:type="dxa" w:w="465"/>
                </w:tcPr>
                <w:p>
                  <w:pPr>
                    <w:pStyle w:val="null3"/>
                  </w:pPr>
                  <w:r>
                    <w:rPr>
                      <w:rFonts w:ascii="仿宋_GB2312" w:hAnsi="仿宋_GB2312" w:cs="仿宋_GB2312" w:eastAsia="仿宋_GB2312"/>
                    </w:rPr>
                    <w:t>尿素</w:t>
                  </w:r>
                </w:p>
              </w:tc>
              <w:tc>
                <w:tcPr>
                  <w:tcW w:type="dxa" w:w="465"/>
                </w:tcPr>
                <w:p>
                  <w:pPr>
                    <w:pStyle w:val="null3"/>
                  </w:pPr>
                  <w:r>
                    <w:rPr>
                      <w:rFonts w:ascii="仿宋_GB2312" w:hAnsi="仿宋_GB2312" w:cs="仿宋_GB2312" w:eastAsia="仿宋_GB2312"/>
                    </w:rPr>
                    <w:t>38吨</w:t>
                  </w:r>
                </w:p>
              </w:tc>
              <w:tc>
                <w:tcPr>
                  <w:tcW w:type="dxa" w:w="465"/>
                </w:tcPr>
                <w:p>
                  <w:pPr>
                    <w:pStyle w:val="null3"/>
                  </w:pPr>
                  <w:r>
                    <w:rPr>
                      <w:rFonts w:ascii="仿宋_GB2312" w:hAnsi="仿宋_GB2312" w:cs="仿宋_GB2312" w:eastAsia="仿宋_GB2312"/>
                    </w:rPr>
                    <w:t>总氮含量≥46%，粒度范围：d 0.85mm-2.80mm，执行标准GB/T2440-2017。</w:t>
                  </w:r>
                </w:p>
              </w:tc>
            </w:tr>
            <w:tr>
              <w:tc>
                <w:tcPr>
                  <w:tcW w:type="dxa" w:w="465"/>
                  <w:vMerge w:val="restart"/>
                </w:tcPr>
                <w:p>
                  <w:pPr>
                    <w:pStyle w:val="null3"/>
                  </w:pPr>
                  <w:r>
                    <w:rPr>
                      <w:rFonts w:ascii="仿宋_GB2312" w:hAnsi="仿宋_GB2312" w:cs="仿宋_GB2312" w:eastAsia="仿宋_GB2312"/>
                    </w:rPr>
                    <w:t>除草剂</w:t>
                  </w:r>
                </w:p>
              </w:tc>
              <w:tc>
                <w:tcPr>
                  <w:tcW w:type="dxa" w:w="465"/>
                </w:tcPr>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唑草·苯磺隆(唑草酮+苯磺隆的二元复配制剂)，药剂总有效成分亩用量≥1.8克，以亩用药剂产品数量为单位包装。</w:t>
                  </w:r>
                </w:p>
              </w:tc>
            </w:tr>
            <w:tr>
              <w:tc>
                <w:tcPr>
                  <w:tcW w:type="dxa" w:w="465"/>
                  <w:vMerge/>
                </w:tcPr>
                <w:p/>
              </w:tc>
              <w:tc>
                <w:tcPr>
                  <w:tcW w:type="dxa" w:w="465"/>
                </w:tcPr>
                <w:p>
                  <w:pPr>
                    <w:pStyle w:val="null3"/>
                  </w:pPr>
                  <w:r>
                    <w:rPr>
                      <w:rFonts w:ascii="仿宋_GB2312" w:hAnsi="仿宋_GB2312" w:cs="仿宋_GB2312" w:eastAsia="仿宋_GB2312"/>
                    </w:rPr>
                    <w:t>小麦田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炔草酯，药剂有效成分亩用量≥3克，以亩用药剂产品数量为单位包装。</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注：核心产品除草剂（唑草·苯磺隆）</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标的名称：第三标段：汤峪镇（玉米田）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采购内容及技术要求</w:t>
            </w:r>
          </w:p>
        </w:tc>
        <w:tc>
          <w:tcPr>
            <w:tcW w:type="dxa" w:w="2076"/>
          </w:tcPr>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种子</w:t>
                  </w:r>
                </w:p>
              </w:tc>
              <w:tc>
                <w:tcPr>
                  <w:tcW w:type="dxa" w:w="465"/>
                </w:tcPr>
                <w:p>
                  <w:pPr>
                    <w:pStyle w:val="null3"/>
                  </w:pPr>
                  <w:r>
                    <w:rPr>
                      <w:rFonts w:ascii="仿宋_GB2312" w:hAnsi="仿宋_GB2312" w:cs="仿宋_GB2312" w:eastAsia="仿宋_GB2312"/>
                    </w:rPr>
                    <w:t>玉米</w:t>
                  </w:r>
                </w:p>
              </w:tc>
              <w:tc>
                <w:tcPr>
                  <w:tcW w:type="dxa" w:w="465"/>
                </w:tcPr>
                <w:p>
                  <w:pPr>
                    <w:pStyle w:val="null3"/>
                  </w:pPr>
                  <w:r>
                    <w:rPr>
                      <w:rFonts w:ascii="仿宋_GB2312" w:hAnsi="仿宋_GB2312" w:cs="仿宋_GB2312" w:eastAsia="仿宋_GB2312"/>
                    </w:rPr>
                    <w:t>3000袋</w:t>
                  </w:r>
                </w:p>
              </w:tc>
              <w:tc>
                <w:tcPr>
                  <w:tcW w:type="dxa" w:w="465"/>
                </w:tcPr>
                <w:p>
                  <w:pPr>
                    <w:pStyle w:val="null3"/>
                  </w:pPr>
                  <w:r>
                    <w:rPr>
                      <w:rFonts w:ascii="仿宋_GB2312" w:hAnsi="仿宋_GB2312" w:cs="仿宋_GB2312" w:eastAsia="仿宋_GB2312"/>
                    </w:rPr>
                    <w:t>每袋≥4000粒，纯度≥97.0%，净度≥99.0%，发芽率≥93%，水分≤13.0%，执行标准GB4404.1-2008（玉米品种符合市农技发【2024】58号推荐耐密品种及适宜蓝田地区种植品种）。</w:t>
                  </w:r>
                </w:p>
              </w:tc>
            </w:tr>
            <w:tr>
              <w:tc>
                <w:tcPr>
                  <w:tcW w:type="dxa" w:w="465"/>
                  <w:vMerge w:val="restart"/>
                </w:tcPr>
                <w:p>
                  <w:pPr>
                    <w:pStyle w:val="null3"/>
                  </w:pPr>
                  <w:r>
                    <w:rPr>
                      <w:rFonts w:ascii="仿宋_GB2312" w:hAnsi="仿宋_GB2312" w:cs="仿宋_GB2312" w:eastAsia="仿宋_GB2312"/>
                    </w:rPr>
                    <w:t>肥料</w:t>
                  </w:r>
                </w:p>
              </w:tc>
              <w:tc>
                <w:tcPr>
                  <w:tcW w:type="dxa" w:w="465"/>
                </w:tcPr>
                <w:p>
                  <w:pPr>
                    <w:pStyle w:val="null3"/>
                  </w:pPr>
                  <w:r>
                    <w:rPr>
                      <w:rFonts w:ascii="仿宋_GB2312" w:hAnsi="仿宋_GB2312" w:cs="仿宋_GB2312" w:eastAsia="仿宋_GB2312"/>
                    </w:rPr>
                    <w:t>控释肥</w:t>
                  </w:r>
                </w:p>
                <w:p>
                  <w:pPr>
                    <w:pStyle w:val="null3"/>
                  </w:pPr>
                  <w:r>
                    <w:rPr>
                      <w:rFonts w:ascii="仿宋_GB2312" w:hAnsi="仿宋_GB2312" w:cs="仿宋_GB2312" w:eastAsia="仿宋_GB2312"/>
                    </w:rPr>
                    <w:t>(玉米田)</w:t>
                  </w:r>
                </w:p>
              </w:tc>
              <w:tc>
                <w:tcPr>
                  <w:tcW w:type="dxa" w:w="465"/>
                </w:tcPr>
                <w:p>
                  <w:pPr>
                    <w:pStyle w:val="null3"/>
                  </w:pPr>
                  <w:r>
                    <w:rPr>
                      <w:rFonts w:ascii="仿宋_GB2312" w:hAnsi="仿宋_GB2312" w:cs="仿宋_GB2312" w:eastAsia="仿宋_GB2312"/>
                    </w:rPr>
                    <w:t>20吨</w:t>
                  </w:r>
                </w:p>
              </w:tc>
              <w:tc>
                <w:tcPr>
                  <w:tcW w:type="dxa" w:w="465"/>
                </w:tcPr>
                <w:p>
                  <w:pPr>
                    <w:pStyle w:val="null3"/>
                  </w:pPr>
                  <w:r>
                    <w:rPr>
                      <w:rFonts w:ascii="仿宋_GB2312" w:hAnsi="仿宋_GB2312" w:cs="仿宋_GB2312" w:eastAsia="仿宋_GB2312"/>
                    </w:rPr>
                    <w:t>总养分≥42.0%，N≥20，P</w:t>
                  </w:r>
                  <w:r>
                    <w:rPr>
                      <w:rFonts w:ascii="仿宋_GB2312" w:hAnsi="仿宋_GB2312" w:cs="仿宋_GB2312" w:eastAsia="仿宋_GB2312"/>
                      <w:vertAlign w:val="subscript"/>
                    </w:rPr>
                    <w:t>2</w:t>
                  </w:r>
                  <w:r>
                    <w:rPr>
                      <w:rFonts w:ascii="仿宋_GB2312" w:hAnsi="仿宋_GB2312" w:cs="仿宋_GB2312" w:eastAsia="仿宋_GB2312"/>
                    </w:rPr>
                    <w:t>O</w:t>
                  </w:r>
                  <w:r>
                    <w:rPr>
                      <w:rFonts w:ascii="仿宋_GB2312" w:hAnsi="仿宋_GB2312" w:cs="仿宋_GB2312" w:eastAsia="仿宋_GB2312"/>
                      <w:vertAlign w:val="subscript"/>
                    </w:rPr>
                    <w:t>5</w:t>
                  </w:r>
                  <w:r>
                    <w:rPr>
                      <w:rFonts w:ascii="仿宋_GB2312" w:hAnsi="仿宋_GB2312" w:cs="仿宋_GB2312" w:eastAsia="仿宋_GB2312"/>
                    </w:rPr>
                    <w:t>≥6，K</w:t>
                  </w:r>
                  <w:r>
                    <w:rPr>
                      <w:rFonts w:ascii="仿宋_GB2312" w:hAnsi="仿宋_GB2312" w:cs="仿宋_GB2312" w:eastAsia="仿宋_GB2312"/>
                      <w:vertAlign w:val="subscript"/>
                    </w:rPr>
                    <w:t>2</w:t>
                  </w:r>
                  <w:r>
                    <w:rPr>
                      <w:rFonts w:ascii="仿宋_GB2312" w:hAnsi="仿宋_GB2312" w:cs="仿宋_GB2312" w:eastAsia="仿宋_GB2312"/>
                    </w:rPr>
                    <w:t>O≥6，执行标准GB/T23348-2009。</w:t>
                  </w:r>
                </w:p>
              </w:tc>
            </w:tr>
            <w:tr>
              <w:tc>
                <w:tcPr>
                  <w:tcW w:type="dxa" w:w="465"/>
                  <w:vMerge/>
                </w:tcPr>
                <w:p/>
              </w:tc>
              <w:tc>
                <w:tcPr>
                  <w:tcW w:type="dxa" w:w="465"/>
                </w:tcPr>
                <w:p>
                  <w:pPr>
                    <w:pStyle w:val="null3"/>
                  </w:pPr>
                  <w:r>
                    <w:rPr>
                      <w:rFonts w:ascii="仿宋_GB2312" w:hAnsi="仿宋_GB2312" w:cs="仿宋_GB2312" w:eastAsia="仿宋_GB2312"/>
                    </w:rPr>
                    <w:t>尿素</w:t>
                  </w:r>
                </w:p>
              </w:tc>
              <w:tc>
                <w:tcPr>
                  <w:tcW w:type="dxa" w:w="465"/>
                </w:tcPr>
                <w:p>
                  <w:pPr>
                    <w:pStyle w:val="null3"/>
                  </w:pPr>
                  <w:r>
                    <w:rPr>
                      <w:rFonts w:ascii="仿宋_GB2312" w:hAnsi="仿宋_GB2312" w:cs="仿宋_GB2312" w:eastAsia="仿宋_GB2312"/>
                    </w:rPr>
                    <w:t>30吨</w:t>
                  </w:r>
                </w:p>
              </w:tc>
              <w:tc>
                <w:tcPr>
                  <w:tcW w:type="dxa" w:w="465"/>
                </w:tcPr>
                <w:p>
                  <w:pPr>
                    <w:pStyle w:val="null3"/>
                  </w:pPr>
                  <w:r>
                    <w:rPr>
                      <w:rFonts w:ascii="仿宋_GB2312" w:hAnsi="仿宋_GB2312" w:cs="仿宋_GB2312" w:eastAsia="仿宋_GB2312"/>
                    </w:rPr>
                    <w:t>总氮含量≥46%，粒度范围：d 0.85mm-2.80mm，执行标准GB/T2440-2017。</w:t>
                  </w:r>
                </w:p>
              </w:tc>
            </w:tr>
            <w:tr>
              <w:tc>
                <w:tcPr>
                  <w:tcW w:type="dxa" w:w="465"/>
                </w:tcPr>
                <w:p>
                  <w:pPr>
                    <w:pStyle w:val="null3"/>
                  </w:pPr>
                  <w:r>
                    <w:rPr>
                      <w:rFonts w:ascii="仿宋_GB2312" w:hAnsi="仿宋_GB2312" w:cs="仿宋_GB2312" w:eastAsia="仿宋_GB2312"/>
                    </w:rPr>
                    <w:t>除草剂</w:t>
                  </w:r>
                </w:p>
              </w:tc>
              <w:tc>
                <w:tcPr>
                  <w:tcW w:type="dxa" w:w="465"/>
                </w:tcPr>
                <w:p>
                  <w:pPr>
                    <w:pStyle w:val="null3"/>
                  </w:pPr>
                  <w:r>
                    <w:rPr>
                      <w:rFonts w:ascii="仿宋_GB2312" w:hAnsi="仿宋_GB2312" w:cs="仿宋_GB2312" w:eastAsia="仿宋_GB2312"/>
                    </w:rPr>
                    <w:t>玉米田</w:t>
                  </w:r>
                </w:p>
              </w:tc>
              <w:tc>
                <w:tcPr>
                  <w:tcW w:type="dxa" w:w="465"/>
                </w:tcPr>
                <w:p>
                  <w:pPr>
                    <w:pStyle w:val="null3"/>
                  </w:pPr>
                  <w:r>
                    <w:rPr>
                      <w:rFonts w:ascii="仿宋_GB2312" w:hAnsi="仿宋_GB2312" w:cs="仿宋_GB2312" w:eastAsia="仿宋_GB2312"/>
                    </w:rPr>
                    <w:t>10000亩</w:t>
                  </w:r>
                </w:p>
              </w:tc>
              <w:tc>
                <w:tcPr>
                  <w:tcW w:type="dxa" w:w="465"/>
                </w:tcPr>
                <w:p>
                  <w:pPr>
                    <w:pStyle w:val="null3"/>
                  </w:pPr>
                  <w:r>
                    <w:rPr>
                      <w:rFonts w:ascii="仿宋_GB2312" w:hAnsi="仿宋_GB2312" w:cs="仿宋_GB2312" w:eastAsia="仿宋_GB2312"/>
                    </w:rPr>
                    <w:t>硝·烟·莠去津（硝磺草酮+烟嘧磺隆+莠去津的三元复配制剂），药剂总有效成分亩用量≥30 ml，以亩用药剂产品数量为单位包装。</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rPr>
              <w:t>注：核心产品除草剂（硝·烟·莠去津）</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2025年9月底交货完毕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2025年9月底交货完毕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2025年6月初交货完毕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前卫镇、孟村镇、三官庙镇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汤峪镇（小麦田）</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汤峪镇（玉米田）</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专项资金到位后，一次性付清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3.2产品的合法来源渠道证明文件、功能证明材料； 3.3竞争性谈判文件； 3.4竞争性谈判响应文件； 3.5合同货物清单； 3.6生产厂家的企业资质等。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3.2产品的合法来源渠道证明文件、功能证明材料； 3.3竞争性谈判文件； 3.4竞争性谈判响应文件； 3.5合同货物清单； 3.6生产厂家的企业资质等。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1.货物到达交货地点后，由使用单位根据合同对货物的名称、品牌、规格、型号、产地、数量进行检查，合格后签发《验收合格单》。 2.验收不合格的成交单位，必须在接到通知后7个日历日内确保货物通过验收。如接到通知后7个日历日内验收仍不合格，采购人可提出索赔或取消其供货合同。采购代理机构将把成交资格授予评审排序下一名的成交单位。 3.验收依据 3.1合同文本及合同补充文件（条款）； 3.2产品的合法来源渠道证明文件、功能证明材料； 3.3竞争性谈判文件； 3.4竞争性谈判响应文件； 3.5合同货物清单； 3.6生产厂家的企业资质等。</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1.质保期为验收合格之日起不少于12个月。 2.成交单位承诺的质保期起始时间为终验合格之日。 3.所有产品质量必须符合国家有关规范和相关政策。所有产品必须是未使用过的新产品，质量优良、渠道正当。 4.质保期出现的质量问题由成交单位负责解决并承担所有费用。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1.按《中华人民共和国民法典》中的相关条款执行。 2.未按合同要求提供产品或产品质量不能满足技术要求，采购人有权终止合同，并对供方违约行为进行追究，同时按《中华人民共和国政府采购法》的有关规定进行处罚。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1.产品的合法来源渠道证明文件（包括但不限于原厂授权、代理协议、销售协议等）； 2.生产厂家确认的、相应的功能证明材料（包括但不限于测试报告、官网和功能截图等）。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1.产品的合法来源渠道证明文件（包括但不限于原厂授权、代理协议、销售协议等）； 2.生产厂家确认的、相应的功能证明材料（包括但不限于测试报告、官网和功能截图等）。</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1.产品的合法来源渠道证明文件（包括但不限于原厂授权、代理协议、销售协议等）； 2.生产厂家确认的、相应的功能证明材料（包括但不限于测试报告、官网和功能截图等）。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332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供应商提供农作物种子生产经营许可证</w:t>
            </w:r>
          </w:p>
        </w:tc>
        <w:tc>
          <w:tcPr>
            <w:tcW w:type="dxa" w:w="3322"/>
          </w:tcPr>
          <w:p>
            <w:pPr>
              <w:pStyle w:val="null3"/>
            </w:pPr>
            <w:r>
              <w:rPr>
                <w:rFonts w:ascii="仿宋_GB2312" w:hAnsi="仿宋_GB2312" w:cs="仿宋_GB2312" w:eastAsia="仿宋_GB2312"/>
              </w:rPr>
              <w:t>供应商提供农作物种子生产经营许可证；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332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332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供应商提供农作物种子生产经营许可证</w:t>
            </w:r>
          </w:p>
        </w:tc>
        <w:tc>
          <w:tcPr>
            <w:tcW w:type="dxa" w:w="3322"/>
          </w:tcPr>
          <w:p>
            <w:pPr>
              <w:pStyle w:val="null3"/>
            </w:pPr>
            <w:r>
              <w:rPr>
                <w:rFonts w:ascii="仿宋_GB2312" w:hAnsi="仿宋_GB2312" w:cs="仿宋_GB2312" w:eastAsia="仿宋_GB2312"/>
              </w:rPr>
              <w:t>供应商提供农作物种子生产经营许可证；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332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3322"/>
          </w:tcPr>
          <w:p>
            <w:pPr>
              <w:pStyle w:val="null3"/>
            </w:pPr>
            <w:r>
              <w:rPr>
                <w:rFonts w:ascii="仿宋_GB2312" w:hAnsi="仿宋_GB2312" w:cs="仿宋_GB2312" w:eastAsia="仿宋_GB2312"/>
              </w:rPr>
              <w:t>提供供应商合法注册的法人或其他组织的营业执照等证明文件、自然人的身份证明。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提供法定代表人资格证明书（附法定代表人身份证复印件）；采购文件凡是法定代表人之处，非法人单位的负责人均参照执行；(式样见竞争性谈判响应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3322"/>
          </w:tcPr>
          <w:p>
            <w:pPr>
              <w:pStyle w:val="null3"/>
            </w:pPr>
            <w:r>
              <w:rPr>
                <w:rFonts w:ascii="仿宋_GB2312" w:hAnsi="仿宋_GB2312" w:cs="仿宋_GB2312" w:eastAsia="仿宋_GB2312"/>
              </w:rPr>
              <w:t>供应商为生产厂家的提供有效期内的肥料登记证或农业农村部登记备案证明；供应商为代理商的提供厂家的肥料登记证或备案证明材料。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供应商提供农作物种子生产经营许可证</w:t>
            </w:r>
          </w:p>
        </w:tc>
        <w:tc>
          <w:tcPr>
            <w:tcW w:type="dxa" w:w="3322"/>
          </w:tcPr>
          <w:p>
            <w:pPr>
              <w:pStyle w:val="null3"/>
            </w:pPr>
            <w:r>
              <w:rPr>
                <w:rFonts w:ascii="仿宋_GB2312" w:hAnsi="仿宋_GB2312" w:cs="仿宋_GB2312" w:eastAsia="仿宋_GB2312"/>
              </w:rPr>
              <w:t>供应商提供农作物种子生产经营许可证；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3322"/>
          </w:tcPr>
          <w:p>
            <w:pPr>
              <w:pStyle w:val="null3"/>
            </w:pPr>
            <w:r>
              <w:rPr>
                <w:rFonts w:ascii="仿宋_GB2312" w:hAnsi="仿宋_GB2312" w:cs="仿宋_GB2312" w:eastAsia="仿宋_GB2312"/>
              </w:rPr>
              <w:t>供应商为生产厂家的需提供农药生产许可证；为代理商的需提供农药经营许可证及生产厂家的农药生产许可证；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 号文规定，此项由采购人在谈判响应截止日当 天在“信用中国” 网站和中国政府采购网站进行查询，截图留档；如网站无供应商信息的，供应商须提供相关证明资料或书面声明）。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 定，此项由采购人在谈判响应截止日当天在“ 国家企业信用信息公示系统” 网站进行查询，截图留档；如网站无供应商信息的，供应商须提供相关证明资料或书面声明）。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响应文件封面 技术规格响应偏离表.docx 中小企业声明函 标的清单 商务条款响应偏离表.docx 分项报价.docx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响应文件封面 实施方案.docx 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谈判响应文件含有采购人不能接受的附加条件</w:t>
            </w:r>
          </w:p>
        </w:tc>
        <w:tc>
          <w:tcPr>
            <w:tcW w:type="dxa" w:w="3322"/>
          </w:tcPr>
          <w:p>
            <w:pPr>
              <w:pStyle w:val="null3"/>
            </w:pPr>
            <w:r>
              <w:rPr>
                <w:rFonts w:ascii="仿宋_GB2312" w:hAnsi="仿宋_GB2312" w:cs="仿宋_GB2312" w:eastAsia="仿宋_GB2312"/>
              </w:rPr>
              <w:t>谈判响应文件含有采购人不能接受的附加条件</w:t>
            </w:r>
          </w:p>
        </w:tc>
        <w:tc>
          <w:tcPr>
            <w:tcW w:type="dxa" w:w="1661"/>
          </w:tcPr>
          <w:p>
            <w:pPr>
              <w:pStyle w:val="null3"/>
            </w:pPr>
            <w:r>
              <w:rPr>
                <w:rFonts w:ascii="仿宋_GB2312" w:hAnsi="仿宋_GB2312" w:cs="仿宋_GB2312" w:eastAsia="仿宋_GB2312"/>
              </w:rPr>
              <w:t>响应文件封面 残疾人福利性单位声明函 拒绝政府采购领域商业贿赂承诺书.docx 供应商参与政府采购活动的承诺函.docx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响应文件封面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响应文件封面 技术规格响应偏离表.docx 中小企业声明函 授权委托书.docx 标的清单 商务条款响应偏离表.docx 分项报价.docx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技术规格响应偏离表.docx 响应文件封面 商务条款响应偏离表.docx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谈判响应文件含有采购人不能接受的附加条件</w:t>
            </w:r>
          </w:p>
        </w:tc>
        <w:tc>
          <w:tcPr>
            <w:tcW w:type="dxa" w:w="3322"/>
          </w:tcPr>
          <w:p>
            <w:pPr>
              <w:pStyle w:val="null3"/>
            </w:pPr>
            <w:r>
              <w:rPr>
                <w:rFonts w:ascii="仿宋_GB2312" w:hAnsi="仿宋_GB2312" w:cs="仿宋_GB2312" w:eastAsia="仿宋_GB2312"/>
              </w:rPr>
              <w:t>谈判响应文件含有采购人不能接受的附加条件</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响应文件封面 拒绝政府采购领域商业贿赂承诺书.docx 残疾人福利性单位声明函 中小企业声明函 供应商参与政府采购活动的承诺函.docx 标的清单 响应函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谈判响应文件按照谈判文件的要求盖章签字</w:t>
            </w:r>
          </w:p>
        </w:tc>
        <w:tc>
          <w:tcPr>
            <w:tcW w:type="dxa" w:w="1661"/>
          </w:tcPr>
          <w:p>
            <w:pPr>
              <w:pStyle w:val="null3"/>
            </w:pPr>
            <w:r>
              <w:rPr>
                <w:rFonts w:ascii="仿宋_GB2312" w:hAnsi="仿宋_GB2312" w:cs="仿宋_GB2312" w:eastAsia="仿宋_GB2312"/>
              </w:rPr>
              <w:t>响应文件封面 残疾人福利性单位声明函 中小企业声明函 授权委托书.docx 标的清单 分项报价.docx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谈判报价未超过采购预算</w:t>
            </w:r>
          </w:p>
        </w:tc>
        <w:tc>
          <w:tcPr>
            <w:tcW w:type="dxa" w:w="1661"/>
          </w:tcPr>
          <w:p>
            <w:pPr>
              <w:pStyle w:val="null3"/>
            </w:pPr>
            <w:r>
              <w:rPr>
                <w:rFonts w:ascii="仿宋_GB2312" w:hAnsi="仿宋_GB2312" w:cs="仿宋_GB2312" w:eastAsia="仿宋_GB2312"/>
              </w:rPr>
              <w:t>响应文件封面 标的清单 分项报价.docx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谈判有效期符合谈判文件的要求</w:t>
            </w:r>
          </w:p>
        </w:tc>
        <w:tc>
          <w:tcPr>
            <w:tcW w:type="dxa" w:w="1661"/>
          </w:tcPr>
          <w:p>
            <w:pPr>
              <w:pStyle w:val="null3"/>
            </w:pPr>
            <w:r>
              <w:rPr>
                <w:rFonts w:ascii="仿宋_GB2312" w:hAnsi="仿宋_GB2312" w:cs="仿宋_GB2312" w:eastAsia="仿宋_GB2312"/>
              </w:rPr>
              <w:t>响应文件封面 授权委托书.docx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对谈判文件商务要求、技术要求作出明确响应</w:t>
            </w:r>
          </w:p>
        </w:tc>
        <w:tc>
          <w:tcPr>
            <w:tcW w:type="dxa" w:w="3322"/>
          </w:tcPr>
          <w:p>
            <w:pPr>
              <w:pStyle w:val="null3"/>
            </w:pPr>
            <w:r>
              <w:rPr>
                <w:rFonts w:ascii="仿宋_GB2312" w:hAnsi="仿宋_GB2312" w:cs="仿宋_GB2312" w:eastAsia="仿宋_GB2312"/>
              </w:rPr>
              <w:t>对谈判文件商务要求作出明确响应；对谈判文件技术要求作出明确响应，对不得偏离的要求作了实质性响应</w:t>
            </w:r>
          </w:p>
        </w:tc>
        <w:tc>
          <w:tcPr>
            <w:tcW w:type="dxa" w:w="1661"/>
          </w:tcPr>
          <w:p>
            <w:pPr>
              <w:pStyle w:val="null3"/>
            </w:pPr>
            <w:r>
              <w:rPr>
                <w:rFonts w:ascii="仿宋_GB2312" w:hAnsi="仿宋_GB2312" w:cs="仿宋_GB2312" w:eastAsia="仿宋_GB2312"/>
              </w:rPr>
              <w:t>响应文件封面 技术规格响应偏离表.docx 商务条款响应偏离表.docx 实施方案.docx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谈判响应文件含有采购人不能接受的附加条件</w:t>
            </w:r>
          </w:p>
        </w:tc>
        <w:tc>
          <w:tcPr>
            <w:tcW w:type="dxa" w:w="3322"/>
          </w:tcPr>
          <w:p>
            <w:pPr>
              <w:pStyle w:val="null3"/>
            </w:pPr>
            <w:r>
              <w:rPr>
                <w:rFonts w:ascii="仿宋_GB2312" w:hAnsi="仿宋_GB2312" w:cs="仿宋_GB2312" w:eastAsia="仿宋_GB2312"/>
              </w:rPr>
              <w:t>谈判响应文件含有采购人不能接受的附加条件</w:t>
            </w:r>
          </w:p>
        </w:tc>
        <w:tc>
          <w:tcPr>
            <w:tcW w:type="dxa" w:w="1661"/>
          </w:tcPr>
          <w:p>
            <w:pPr>
              <w:pStyle w:val="null3"/>
            </w:pPr>
            <w:r>
              <w:rPr>
                <w:rFonts w:ascii="仿宋_GB2312" w:hAnsi="仿宋_GB2312" w:cs="仿宋_GB2312" w:eastAsia="仿宋_GB2312"/>
              </w:rPr>
              <w:t>响应文件封面 拒绝政府采购领域商业贿赂承诺书.docx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法律、法规和谈判文件规定的其他无效响应情形</w:t>
            </w:r>
          </w:p>
        </w:tc>
        <w:tc>
          <w:tcPr>
            <w:tcW w:type="dxa" w:w="3322"/>
          </w:tcPr>
          <w:p>
            <w:pPr>
              <w:pStyle w:val="null3"/>
            </w:pPr>
            <w:r>
              <w:rPr>
                <w:rFonts w:ascii="仿宋_GB2312" w:hAnsi="仿宋_GB2312" w:cs="仿宋_GB2312" w:eastAsia="仿宋_GB2312"/>
              </w:rPr>
              <w:t>法律、法规和谈判文件规定的其他无效响应情形</w:t>
            </w:r>
          </w:p>
        </w:tc>
        <w:tc>
          <w:tcPr>
            <w:tcW w:type="dxa" w:w="1661"/>
          </w:tcPr>
          <w:p>
            <w:pPr>
              <w:pStyle w:val="null3"/>
            </w:pPr>
            <w:r>
              <w:rPr>
                <w:rFonts w:ascii="仿宋_GB2312" w:hAnsi="仿宋_GB2312" w:cs="仿宋_GB2312" w:eastAsia="仿宋_GB2312"/>
              </w:rPr>
              <w:t>响应文件封面 拒绝政府采购领域商业贿赂承诺书.docx 供应商参与政府采购活动的承诺函.docx 响应函</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谈判小组依据谈判文件的要求，经过评审、谈判、澄清、最后报价等程序后，从质量和服务均能满足谈判文件实质性响应要求的供应商中，按照最后报价由低到高的顺序推荐成交候选人。</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详见附件：授权委托书.docx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