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版本号：ZKXR-2025-032520250325001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蓝田县耕地占补平衡补充耕地指标核定入库工作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ZKXR-2025-0325</w:t>
      </w:r>
      <w:r>
        <w:br/>
      </w:r>
      <w:r>
        <w:br/>
      </w:r>
      <w:r>
        <w:br/>
      </w:r>
    </w:p>
    <w:p>
      <w:pPr>
        <w:pStyle w:val="null3"/>
        <w:jc w:val="center"/>
        <w:outlineLvl w:val="2"/>
      </w:pPr>
      <w:r>
        <w:rPr>
          <w:rFonts w:ascii="仿宋_GB2312" w:hAnsi="仿宋_GB2312" w:cs="仿宋_GB2312" w:eastAsia="仿宋_GB2312"/>
          <w:sz w:val="28"/>
          <w:b/>
        </w:rPr>
        <w:t>蓝田县土地开发整理中心</w:t>
      </w:r>
    </w:p>
    <w:p>
      <w:pPr>
        <w:pStyle w:val="null3"/>
        <w:jc w:val="center"/>
        <w:outlineLvl w:val="2"/>
      </w:pPr>
      <w:r>
        <w:rPr>
          <w:rFonts w:ascii="仿宋_GB2312" w:hAnsi="仿宋_GB2312" w:cs="仿宋_GB2312" w:eastAsia="仿宋_GB2312"/>
          <w:sz w:val="28"/>
          <w:b/>
        </w:rPr>
        <w:t>中科旭日建设集团有限公司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中科旭日建设集团有限公司</w:t>
      </w:r>
      <w:r>
        <w:rPr>
          <w:rFonts w:ascii="仿宋_GB2312" w:hAnsi="仿宋_GB2312" w:cs="仿宋_GB2312" w:eastAsia="仿宋_GB2312"/>
        </w:rPr>
        <w:t>（以下简称“代理机构”）受</w:t>
      </w:r>
      <w:r>
        <w:rPr>
          <w:rFonts w:ascii="仿宋_GB2312" w:hAnsi="仿宋_GB2312" w:cs="仿宋_GB2312" w:eastAsia="仿宋_GB2312"/>
        </w:rPr>
        <w:t>蓝田县土地开发整理中心</w:t>
      </w:r>
      <w:r>
        <w:rPr>
          <w:rFonts w:ascii="仿宋_GB2312" w:hAnsi="仿宋_GB2312" w:cs="仿宋_GB2312" w:eastAsia="仿宋_GB2312"/>
        </w:rPr>
        <w:t>委托，拟对</w:t>
      </w:r>
      <w:r>
        <w:rPr>
          <w:rFonts w:ascii="仿宋_GB2312" w:hAnsi="仿宋_GB2312" w:cs="仿宋_GB2312" w:eastAsia="仿宋_GB2312"/>
        </w:rPr>
        <w:t>蓝田县耕地占补平衡补充耕地指标核定入库工作</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ZKXR-2025-0325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蓝田县耕地占补平衡补充耕地指标核定入库工作</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按照自然资源部、农业农村部《关于改革完善耕地占补平衡管理的通知》（自然资发〔2024〕204 号）、中共陕西省委办公厅 陕西省人民政府办公厅《关于加强耕地保护提升耕地质量完善占补平衡的实施意见》（陕办发〔2024〕15号）、陕西省自然资源厅 陕西省农业农村厅《关于开展 2024 年度非农建设补充耕地指标核定工作的通知》（陕自然资耕发〔2025〕78号）要求，以蓝田县稳定耕地净增量为基础，陕西省自然资源厅下达蓝田县耕地占补平衡补充耕地指标核定量1.50万亩，蓝田县拟聘请第三方技术服务机构，开展补充耕地指标核定相关工作，尽快报备入库形成指标，用于非农建设项目用地报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采购包1（蓝田县耕地占补平衡补充耕地指标核定入库工作）：属于专门面向中小企业采购。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 力：根据投标供应商类别进行提供：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w:t>
      </w:r>
    </w:p>
    <w:p>
      <w:pPr>
        <w:pStyle w:val="null3"/>
      </w:pPr>
      <w:r>
        <w:rPr>
          <w:rFonts w:ascii="仿宋_GB2312" w:hAnsi="仿宋_GB2312" w:cs="仿宋_GB2312" w:eastAsia="仿宋_GB2312"/>
        </w:rPr>
        <w:t>2、供应商应授权合法的人员参加磋商全过程：法定代表人授权书（法定代表人直接参加磋商，须提供法定代表人身份证明）（提供法人或委托人近三个月社保证明）。</w:t>
      </w:r>
    </w:p>
    <w:p>
      <w:pPr>
        <w:pStyle w:val="null3"/>
      </w:pPr>
      <w:r>
        <w:rPr>
          <w:rFonts w:ascii="仿宋_GB2312" w:hAnsi="仿宋_GB2312" w:cs="仿宋_GB2312" w:eastAsia="仿宋_GB2312"/>
        </w:rPr>
        <w:t>3、供应商资质要求：投标供应商须同时具备乙级及以上测绘资质证书和乙级及以上土地规划资质证书。</w:t>
      </w:r>
    </w:p>
    <w:p>
      <w:pPr>
        <w:pStyle w:val="null3"/>
      </w:pPr>
      <w:r>
        <w:rPr>
          <w:rFonts w:ascii="仿宋_GB2312" w:hAnsi="仿宋_GB2312" w:cs="仿宋_GB2312" w:eastAsia="仿宋_GB2312"/>
        </w:rPr>
        <w:t>4、供应商信用要求：（1）投标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2）参加政府采购活动前3年内，在经营活动中没有重大违法记录的书面声明。</w:t>
      </w:r>
    </w:p>
    <w:p>
      <w:pPr>
        <w:pStyle w:val="null3"/>
      </w:pPr>
      <w:r>
        <w:rPr>
          <w:rFonts w:ascii="仿宋_GB2312" w:hAnsi="仿宋_GB2312" w:cs="仿宋_GB2312" w:eastAsia="仿宋_GB2312"/>
        </w:rPr>
        <w:t>5、财务状况报告：提供2023年度经审计的财务报告（成立时间至提交投标文件截止时间不足一年的可提供成立后任意时段的资产负债表），或投标截止日期前6个月内银行出具的资信证明。</w:t>
      </w:r>
    </w:p>
    <w:p>
      <w:pPr>
        <w:pStyle w:val="null3"/>
      </w:pPr>
      <w:r>
        <w:rPr>
          <w:rFonts w:ascii="仿宋_GB2312" w:hAnsi="仿宋_GB2312" w:cs="仿宋_GB2312" w:eastAsia="仿宋_GB2312"/>
        </w:rPr>
        <w:t>6、税收缴纳证明：提供投标截止日前一年内已缴纳的至少一个月的纳税证明或完税证明，依法免税的单位应提供相关证明材料。</w:t>
      </w:r>
    </w:p>
    <w:p>
      <w:pPr>
        <w:pStyle w:val="null3"/>
      </w:pPr>
      <w:r>
        <w:rPr>
          <w:rFonts w:ascii="仿宋_GB2312" w:hAnsi="仿宋_GB2312" w:cs="仿宋_GB2312" w:eastAsia="仿宋_GB2312"/>
        </w:rPr>
        <w:t>7、社会保障资金缴纳证明：提供投标截止日前一年内已缴存的至少一个月的社会保障资金缴存单据或社保机构开具的社会保险参保缴费情况证明，依法不需要缴纳社会保障资金的单位应提供相关证明材料。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8、供应商具有履行合同所必需的设备和专业技术能力：提供具有履行合同所必需的设备和专业技术能力的承诺（格式自拟）。</w:t>
      </w:r>
    </w:p>
    <w:p>
      <w:pPr>
        <w:pStyle w:val="null3"/>
      </w:pPr>
      <w:r>
        <w:rPr>
          <w:rFonts w:ascii="仿宋_GB2312" w:hAnsi="仿宋_GB2312" w:cs="仿宋_GB2312" w:eastAsia="仿宋_GB2312"/>
        </w:rPr>
        <w:t>9、非联合体磋商：提供非联合体磋商声明。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蓝田县土地开发整理中心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蓝田县蓝新路7号国土局院内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张宝德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13709244136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中科旭日建设集团有限公司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四川省成都市武侯区四川省成都市武侯区科西三路2号西物慧鼎8层5号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610041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董秋娥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18392046469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 参照国家计委颁发的《招标代理服务收费管理暂行办法》(计价 格[2002]1980号)和国家发展改革委员会办公厅颁发的《关于招标代理服务收费有关问题的通 知》(发改办价格[2003]857号)的收费标准计取。中标供应商在领取中标通知书前，须向采购代 理机构一次性支付招标代理服务费。 招标代理服务费账户: 名称：中科旭日建设集团有限公司西安分公司 税号：91610111MABLW4H509 单位地址：陕西省西安市灞桥区纺西街华夏世纪广场A座2105室 电话：18392046469 账号：2615 5101 0400 0842 6 开户行：中国农业银行西安长安区樱花北路支行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蓝田县土地开发整理中心</w:t>
      </w:r>
      <w:r>
        <w:rPr>
          <w:rFonts w:ascii="仿宋_GB2312" w:hAnsi="仿宋_GB2312" w:cs="仿宋_GB2312" w:eastAsia="仿宋_GB2312"/>
        </w:rPr>
        <w:t>和</w:t>
      </w:r>
      <w:r>
        <w:rPr>
          <w:rFonts w:ascii="仿宋_GB2312" w:hAnsi="仿宋_GB2312" w:cs="仿宋_GB2312" w:eastAsia="仿宋_GB2312"/>
        </w:rPr>
        <w:t>中科旭日建设集团有限公司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蓝田县土地开发整理中心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中科旭日建设集团有限公司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蓝田县土地开发整理中心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中科旭日建设集团有限公司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成果质量合格，符合市、省级审查要求。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中科旭日建设集团有限公司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中科旭日建设集团有限公司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中科旭日建设集团有限公司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联系人：董秋娥</w:t>
      </w:r>
    </w:p>
    <w:p>
      <w:pPr>
        <w:pStyle w:val="null3"/>
      </w:pPr>
      <w:r>
        <w:rPr>
          <w:rFonts w:ascii="仿宋_GB2312" w:hAnsi="仿宋_GB2312" w:cs="仿宋_GB2312" w:eastAsia="仿宋_GB2312"/>
        </w:rPr>
        <w:t>联系电话：18392046469</w:t>
      </w:r>
    </w:p>
    <w:p>
      <w:pPr>
        <w:pStyle w:val="null3"/>
      </w:pPr>
      <w:r>
        <w:rPr>
          <w:rFonts w:ascii="仿宋_GB2312" w:hAnsi="仿宋_GB2312" w:cs="仿宋_GB2312" w:eastAsia="仿宋_GB2312"/>
        </w:rPr>
        <w:t>地址：陕西省西安市灞桥区纺西街华夏世纪广场A座2105室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按照自然资源部、农业农村部《关于改革完善耕地占补平衡管理的通知》（自然资发〔2024〕204 号）、中共陕西省委办公厅 陕西省人民政府办公厅《关于加强耕地保护提升耕地质量完善占补平衡的实施意见》（陕办发〔2024〕15号）、陕西省自然资源厅 陕西省农业农村厅《关于开展 2024 年度非农建设补充耕地指标核定工作的通知》（陕自然资耕发〔2025〕78号）要求，以蓝田县稳定耕地净增量为基础，陕西省自然资源厅下达蓝田县耕地占补平衡补充耕地指标核定量1.50万亩，蓝田县拟聘请第三方技术服务机构，开展补充耕地指标核定相关工作，尽快报备入库形成指标，用于非农建设项目用地报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1,950,000.00</w:t>
      </w:r>
    </w:p>
    <w:p>
      <w:pPr>
        <w:pStyle w:val="null3"/>
      </w:pPr>
      <w:r>
        <w:rPr>
          <w:rFonts w:ascii="仿宋_GB2312" w:hAnsi="仿宋_GB2312" w:cs="仿宋_GB2312" w:eastAsia="仿宋_GB2312"/>
        </w:rPr>
        <w:t>采购包最高限价（元）: 1,950,000.00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 xml:space="preserve"> 蓝田县耕地占补平衡补充耕地指标核定入库工作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 蓝田县耕地占补平衡补充耕地指标核定入库工作</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4"/>
                <w:b/>
                <w:color w:val="000000"/>
              </w:rPr>
              <w:t>一、项目概况</w:t>
            </w:r>
          </w:p>
          <w:p>
            <w:pPr>
              <w:pStyle w:val="null3"/>
              <w:ind w:firstLine="480"/>
              <w:jc w:val="both"/>
            </w:pPr>
            <w:r>
              <w:rPr>
                <w:rFonts w:ascii="仿宋_GB2312" w:hAnsi="仿宋_GB2312" w:cs="仿宋_GB2312" w:eastAsia="仿宋_GB2312"/>
                <w:sz w:val="24"/>
                <w:color w:val="000000"/>
              </w:rPr>
              <w:t>按照</w:t>
            </w:r>
            <w:r>
              <w:rPr>
                <w:rFonts w:ascii="仿宋_GB2312" w:hAnsi="仿宋_GB2312" w:cs="仿宋_GB2312" w:eastAsia="仿宋_GB2312"/>
                <w:sz w:val="24"/>
                <w:color w:val="000000"/>
              </w:rPr>
              <w:t>自然资源部、农业农村部《关于改革完善耕地占补平衡管理的通知》（自然资发〔</w:t>
            </w:r>
            <w:r>
              <w:rPr>
                <w:rFonts w:ascii="仿宋_GB2312" w:hAnsi="仿宋_GB2312" w:cs="仿宋_GB2312" w:eastAsia="仿宋_GB2312"/>
                <w:sz w:val="24"/>
                <w:color w:val="000000"/>
              </w:rPr>
              <w:t>2024〕204 号）、中共陕西省委办公厅 陕西省人民政府办公厅《关于加强耕地保护提升耕地质量完善占补平衡的实施意见》（陕办发〔2024〕15号）、陕西省自然资源厅 陕西省农业农村厅《关于开展 2024 年度非农建设补充耕地指标核定工作的通知》（陕自然资耕发〔2025〕78号）要求，以蓝田县稳定耕地净增量为基础，陕西省自然资源厅下达蓝田县耕地占补平衡补充耕地指标核定量1.50万亩，蓝田县拟聘请第三方技术服务机构，开展补充耕地指标核定相关工作，尽快报备入库形成指标，用于非农建设项目用地报批。</w:t>
            </w:r>
          </w:p>
          <w:p>
            <w:pPr>
              <w:pStyle w:val="null3"/>
              <w:jc w:val="both"/>
            </w:pP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采购</w:t>
            </w:r>
            <w:r>
              <w:rPr>
                <w:rFonts w:ascii="仿宋_GB2312" w:hAnsi="仿宋_GB2312" w:cs="仿宋_GB2312" w:eastAsia="仿宋_GB2312"/>
                <w:sz w:val="24"/>
                <w:b/>
                <w:color w:val="000000"/>
              </w:rPr>
              <w:t>内容</w:t>
            </w:r>
          </w:p>
          <w:p>
            <w:pPr>
              <w:pStyle w:val="null3"/>
              <w:ind w:firstLine="480"/>
              <w:jc w:val="both"/>
            </w:pPr>
            <w:r>
              <w:rPr>
                <w:rFonts w:ascii="仿宋_GB2312" w:hAnsi="仿宋_GB2312" w:cs="仿宋_GB2312" w:eastAsia="仿宋_GB2312"/>
                <w:sz w:val="24"/>
                <w:color w:val="000000"/>
              </w:rPr>
              <w:t>工作区域为蓝田县全县，工作内容为：</w:t>
            </w:r>
          </w:p>
          <w:p>
            <w:pPr>
              <w:pStyle w:val="null3"/>
              <w:ind w:firstLine="480"/>
              <w:jc w:val="both"/>
            </w:pPr>
            <w:r>
              <w:rPr>
                <w:rFonts w:ascii="仿宋_GB2312" w:hAnsi="仿宋_GB2312" w:cs="仿宋_GB2312" w:eastAsia="仿宋_GB2312"/>
                <w:sz w:val="24"/>
                <w:color w:val="000000"/>
              </w:rPr>
              <w:t>（一）潜力图斑筛选分析。包括基础资料收集、潜力图斑内业筛选和外业调查、初步确定面积</w:t>
            </w:r>
            <w:r>
              <w:rPr>
                <w:rFonts w:ascii="仿宋_GB2312" w:hAnsi="仿宋_GB2312" w:cs="仿宋_GB2312" w:eastAsia="仿宋_GB2312"/>
                <w:sz w:val="24"/>
                <w:color w:val="000000"/>
              </w:rPr>
              <w:t>1.50万亩以上符合核定要求的潜力图斑。</w:t>
            </w:r>
          </w:p>
          <w:p>
            <w:pPr>
              <w:pStyle w:val="null3"/>
              <w:ind w:firstLine="480"/>
              <w:jc w:val="both"/>
            </w:pPr>
            <w:r>
              <w:rPr>
                <w:rFonts w:ascii="仿宋_GB2312" w:hAnsi="仿宋_GB2312" w:cs="仿宋_GB2312" w:eastAsia="仿宋_GB2312"/>
                <w:sz w:val="24"/>
                <w:color w:val="000000"/>
              </w:rPr>
              <w:t>（二）验收工作。包括参与完成核定耕地的数量和质量验收，分为县级自验、市级验收和省级复核。</w:t>
            </w:r>
          </w:p>
          <w:p>
            <w:pPr>
              <w:pStyle w:val="null3"/>
              <w:ind w:firstLine="480"/>
              <w:jc w:val="both"/>
            </w:pPr>
            <w:r>
              <w:rPr>
                <w:rFonts w:ascii="仿宋_GB2312" w:hAnsi="仿宋_GB2312" w:cs="仿宋_GB2312" w:eastAsia="仿宋_GB2312"/>
                <w:sz w:val="24"/>
                <w:color w:val="000000"/>
              </w:rPr>
              <w:t>（三）指标报备入库。包括数据系统查验、外业实地举证拍照、航拍正射影像、地块边界修正和补充举证、系统全流程指标报备，达到入库标准，逐级通过市、省审查。</w:t>
            </w:r>
          </w:p>
          <w:p>
            <w:pPr>
              <w:pStyle w:val="null3"/>
              <w:jc w:val="both"/>
            </w:pPr>
            <w:r>
              <w:rPr>
                <w:rFonts w:ascii="仿宋_GB2312" w:hAnsi="仿宋_GB2312" w:cs="仿宋_GB2312" w:eastAsia="仿宋_GB2312"/>
                <w:sz w:val="24"/>
                <w:b/>
              </w:rPr>
              <w:t>三、技术要求</w:t>
            </w:r>
          </w:p>
          <w:p>
            <w:pPr>
              <w:pStyle w:val="null3"/>
              <w:ind w:firstLine="480"/>
              <w:jc w:val="both"/>
            </w:pPr>
            <w:r>
              <w:rPr>
                <w:rFonts w:ascii="仿宋_GB2312" w:hAnsi="仿宋_GB2312" w:cs="仿宋_GB2312" w:eastAsia="仿宋_GB2312"/>
                <w:sz w:val="24"/>
                <w:color w:val="000000"/>
              </w:rPr>
              <w:t>1.熟悉部、省、市关于</w:t>
            </w:r>
            <w:r>
              <w:rPr>
                <w:rFonts w:ascii="仿宋_GB2312" w:hAnsi="仿宋_GB2312" w:cs="仿宋_GB2312" w:eastAsia="仿宋_GB2312"/>
                <w:sz w:val="24"/>
                <w:color w:val="000000"/>
              </w:rPr>
              <w:t>耕地占补平衡最新</w:t>
            </w:r>
            <w:r>
              <w:rPr>
                <w:rFonts w:ascii="仿宋_GB2312" w:hAnsi="仿宋_GB2312" w:cs="仿宋_GB2312" w:eastAsia="仿宋_GB2312"/>
                <w:sz w:val="24"/>
                <w:color w:val="000000"/>
              </w:rPr>
              <w:t>相关的政策要求；</w:t>
            </w:r>
          </w:p>
          <w:p>
            <w:pPr>
              <w:pStyle w:val="null3"/>
              <w:ind w:firstLine="480"/>
              <w:jc w:val="both"/>
            </w:pPr>
            <w:r>
              <w:rPr>
                <w:rFonts w:ascii="仿宋_GB2312" w:hAnsi="仿宋_GB2312" w:cs="仿宋_GB2312" w:eastAsia="仿宋_GB2312"/>
                <w:sz w:val="24"/>
                <w:color w:val="000000"/>
              </w:rPr>
              <w:t>2.熟悉蓝田县</w:t>
            </w:r>
            <w:r>
              <w:rPr>
                <w:rFonts w:ascii="仿宋_GB2312" w:hAnsi="仿宋_GB2312" w:cs="仿宋_GB2312" w:eastAsia="仿宋_GB2312"/>
                <w:sz w:val="24"/>
                <w:color w:val="000000"/>
              </w:rPr>
              <w:t>稳定</w:t>
            </w:r>
            <w:r>
              <w:rPr>
                <w:rFonts w:ascii="仿宋_GB2312" w:hAnsi="仿宋_GB2312" w:cs="仿宋_GB2312" w:eastAsia="仿宋_GB2312"/>
                <w:sz w:val="24"/>
                <w:color w:val="000000"/>
              </w:rPr>
              <w:t>耕地分布情况，</w:t>
            </w:r>
            <w:r>
              <w:rPr>
                <w:rFonts w:ascii="仿宋_GB2312" w:hAnsi="仿宋_GB2312" w:cs="仿宋_GB2312" w:eastAsia="仿宋_GB2312"/>
                <w:sz w:val="24"/>
                <w:color w:val="000000"/>
              </w:rPr>
              <w:t>蓝田县国土变更调查情况，</w:t>
            </w:r>
            <w:r>
              <w:rPr>
                <w:rFonts w:ascii="仿宋_GB2312" w:hAnsi="仿宋_GB2312" w:cs="仿宋_GB2312" w:eastAsia="仿宋_GB2312"/>
                <w:sz w:val="24"/>
                <w:color w:val="000000"/>
              </w:rPr>
              <w:t>有一定的</w:t>
            </w:r>
            <w:r>
              <w:rPr>
                <w:rFonts w:ascii="仿宋_GB2312" w:hAnsi="仿宋_GB2312" w:cs="仿宋_GB2312" w:eastAsia="仿宋_GB2312"/>
                <w:sz w:val="24"/>
                <w:color w:val="000000"/>
              </w:rPr>
              <w:t>耕地占补平衡、</w:t>
            </w:r>
            <w:r>
              <w:rPr>
                <w:rFonts w:ascii="仿宋_GB2312" w:hAnsi="仿宋_GB2312" w:cs="仿宋_GB2312" w:eastAsia="仿宋_GB2312"/>
                <w:sz w:val="24"/>
                <w:color w:val="000000"/>
              </w:rPr>
              <w:t>国土空间规划、国土调查、</w:t>
            </w:r>
            <w:r>
              <w:rPr>
                <w:rFonts w:ascii="仿宋_GB2312" w:hAnsi="仿宋_GB2312" w:cs="仿宋_GB2312" w:eastAsia="仿宋_GB2312"/>
                <w:sz w:val="24"/>
                <w:color w:val="000000"/>
              </w:rPr>
              <w:t>耕地质量监测、耕地保护等</w:t>
            </w:r>
            <w:r>
              <w:rPr>
                <w:rFonts w:ascii="仿宋_GB2312" w:hAnsi="仿宋_GB2312" w:cs="仿宋_GB2312" w:eastAsia="仿宋_GB2312"/>
                <w:sz w:val="24"/>
                <w:color w:val="000000"/>
              </w:rPr>
              <w:t>相关工作基础；</w:t>
            </w:r>
          </w:p>
          <w:p>
            <w:pPr>
              <w:pStyle w:val="null3"/>
              <w:ind w:firstLine="480"/>
              <w:jc w:val="both"/>
            </w:pPr>
            <w:r>
              <w:rPr>
                <w:rFonts w:ascii="仿宋_GB2312" w:hAnsi="仿宋_GB2312" w:cs="仿宋_GB2312" w:eastAsia="仿宋_GB2312"/>
                <w:sz w:val="24"/>
                <w:color w:val="000000"/>
              </w:rPr>
              <w:t>3.熟练运用</w:t>
            </w:r>
            <w:r>
              <w:rPr>
                <w:rFonts w:ascii="仿宋_GB2312" w:hAnsi="仿宋_GB2312" w:cs="仿宋_GB2312" w:eastAsia="仿宋_GB2312"/>
                <w:sz w:val="24"/>
                <w:color w:val="000000"/>
              </w:rPr>
              <w:t>测绘、</w:t>
            </w:r>
            <w:r>
              <w:rPr>
                <w:rFonts w:ascii="仿宋_GB2312" w:hAnsi="仿宋_GB2312" w:cs="仿宋_GB2312" w:eastAsia="仿宋_GB2312"/>
                <w:sz w:val="24"/>
                <w:color w:val="000000"/>
              </w:rPr>
              <w:t>数据库建设、审核、质检等相关专业</w:t>
            </w:r>
            <w:r>
              <w:rPr>
                <w:rFonts w:ascii="仿宋_GB2312" w:hAnsi="仿宋_GB2312" w:cs="仿宋_GB2312" w:eastAsia="仿宋_GB2312"/>
                <w:sz w:val="24"/>
                <w:color w:val="000000"/>
              </w:rPr>
              <w:t>设备和</w:t>
            </w:r>
            <w:r>
              <w:rPr>
                <w:rFonts w:ascii="仿宋_GB2312" w:hAnsi="仿宋_GB2312" w:cs="仿宋_GB2312" w:eastAsia="仿宋_GB2312"/>
                <w:sz w:val="24"/>
                <w:color w:val="000000"/>
              </w:rPr>
              <w:t>软件。</w:t>
            </w:r>
          </w:p>
          <w:p>
            <w:pPr>
              <w:pStyle w:val="null3"/>
              <w:jc w:val="both"/>
            </w:pPr>
            <w:r>
              <w:rPr>
                <w:rFonts w:ascii="仿宋_GB2312" w:hAnsi="仿宋_GB2312" w:cs="仿宋_GB2312" w:eastAsia="仿宋_GB2312"/>
                <w:sz w:val="24"/>
                <w:b/>
              </w:rPr>
              <w:t>四、服务要求</w:t>
            </w:r>
          </w:p>
          <w:p>
            <w:pPr>
              <w:pStyle w:val="null3"/>
              <w:jc w:val="both"/>
            </w:pPr>
            <w:r>
              <w:rPr>
                <w:rFonts w:ascii="仿宋_GB2312" w:hAnsi="仿宋_GB2312" w:cs="仿宋_GB2312" w:eastAsia="仿宋_GB2312"/>
                <w:sz w:val="24"/>
                <w:b/>
              </w:rPr>
              <w:t>（一）人员配置要求</w:t>
            </w:r>
          </w:p>
          <w:p>
            <w:pPr>
              <w:pStyle w:val="null3"/>
              <w:spacing w:after="120"/>
              <w:ind w:firstLine="480"/>
              <w:jc w:val="both"/>
            </w:pPr>
            <w:r>
              <w:rPr>
                <w:rFonts w:ascii="仿宋_GB2312" w:hAnsi="仿宋_GB2312" w:cs="仿宋_GB2312" w:eastAsia="仿宋_GB2312"/>
                <w:sz w:val="24"/>
                <w:color w:val="000000"/>
              </w:rPr>
              <w:t>拟投入项目团队知识构架要全面，团队人员需具有土地、规划、农业、测绘、地理信息等技术能力，</w:t>
            </w:r>
            <w:r>
              <w:rPr>
                <w:rFonts w:ascii="仿宋_GB2312" w:hAnsi="仿宋_GB2312" w:cs="仿宋_GB2312" w:eastAsia="仿宋_GB2312"/>
                <w:sz w:val="24"/>
                <w:color w:val="000000"/>
              </w:rPr>
              <w:t>组建专业技术团队</w:t>
            </w:r>
            <w:r>
              <w:rPr>
                <w:rFonts w:ascii="仿宋_GB2312" w:hAnsi="仿宋_GB2312" w:cs="仿宋_GB2312" w:eastAsia="仿宋_GB2312"/>
                <w:sz w:val="24"/>
                <w:color w:val="000000"/>
              </w:rPr>
              <w:t>，在规定时间内完成蓝田县</w:t>
            </w:r>
            <w:r>
              <w:rPr>
                <w:rFonts w:ascii="仿宋_GB2312" w:hAnsi="仿宋_GB2312" w:cs="仿宋_GB2312" w:eastAsia="仿宋_GB2312"/>
                <w:sz w:val="24"/>
                <w:color w:val="000000"/>
              </w:rPr>
              <w:t>耕地占补平衡补充耕地指标核定入库工作</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b/>
              </w:rPr>
              <w:t>（二）专业设备</w:t>
            </w:r>
          </w:p>
          <w:p>
            <w:pPr>
              <w:pStyle w:val="null3"/>
              <w:ind w:firstLine="480"/>
              <w:jc w:val="both"/>
            </w:pPr>
            <w:r>
              <w:rPr>
                <w:rFonts w:ascii="仿宋_GB2312" w:hAnsi="仿宋_GB2312" w:cs="仿宋_GB2312" w:eastAsia="仿宋_GB2312"/>
                <w:sz w:val="24"/>
                <w:color w:val="000000"/>
              </w:rPr>
              <w:t>具有履行本项目所必需的专业</w:t>
            </w:r>
            <w:r>
              <w:rPr>
                <w:rFonts w:ascii="仿宋_GB2312" w:hAnsi="仿宋_GB2312" w:cs="仿宋_GB2312" w:eastAsia="仿宋_GB2312"/>
                <w:sz w:val="24"/>
                <w:color w:val="000000"/>
              </w:rPr>
              <w:t>测绘</w:t>
            </w:r>
            <w:r>
              <w:rPr>
                <w:rFonts w:ascii="仿宋_GB2312" w:hAnsi="仿宋_GB2312" w:cs="仿宋_GB2312" w:eastAsia="仿宋_GB2312"/>
                <w:sz w:val="24"/>
                <w:color w:val="000000"/>
              </w:rPr>
              <w:t>设备和技术能力。</w:t>
            </w:r>
          </w:p>
          <w:p>
            <w:pPr>
              <w:pStyle w:val="null3"/>
              <w:jc w:val="both"/>
            </w:pPr>
            <w:r>
              <w:rPr>
                <w:rFonts w:ascii="仿宋_GB2312" w:hAnsi="仿宋_GB2312" w:cs="仿宋_GB2312" w:eastAsia="仿宋_GB2312"/>
                <w:sz w:val="24"/>
                <w:b/>
              </w:rPr>
              <w:t>（三）服务标准</w:t>
            </w:r>
          </w:p>
          <w:p>
            <w:pPr>
              <w:pStyle w:val="null3"/>
              <w:ind w:firstLine="480"/>
              <w:jc w:val="both"/>
            </w:pPr>
            <w:r>
              <w:rPr>
                <w:rFonts w:ascii="仿宋_GB2312" w:hAnsi="仿宋_GB2312" w:cs="仿宋_GB2312" w:eastAsia="仿宋_GB2312"/>
                <w:sz w:val="24"/>
                <w:color w:val="000000"/>
              </w:rPr>
              <w:t>提交成果符合</w:t>
            </w:r>
            <w:r>
              <w:rPr>
                <w:rFonts w:ascii="仿宋_GB2312" w:hAnsi="仿宋_GB2312" w:cs="仿宋_GB2312" w:eastAsia="仿宋_GB2312"/>
                <w:sz w:val="24"/>
                <w:color w:val="000000"/>
              </w:rPr>
              <w:t>省、市相关技术标准要求，通过省、市各级验收，报备入库通过省、市审查</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b/>
              </w:rPr>
              <w:t>五、商务要求（如服务期限、款项结算等）</w:t>
            </w:r>
          </w:p>
          <w:p>
            <w:pPr>
              <w:pStyle w:val="null3"/>
              <w:ind w:firstLine="480"/>
              <w:jc w:val="left"/>
            </w:pPr>
            <w:r>
              <w:rPr>
                <w:rFonts w:ascii="仿宋_GB2312" w:hAnsi="仿宋_GB2312" w:cs="仿宋_GB2312" w:eastAsia="仿宋_GB2312"/>
                <w:sz w:val="24"/>
              </w:rPr>
              <w:t>服务期限：</w:t>
            </w:r>
            <w:r>
              <w:rPr>
                <w:rFonts w:ascii="仿宋_GB2312" w:hAnsi="仿宋_GB2312" w:cs="仿宋_GB2312" w:eastAsia="仿宋_GB2312"/>
                <w:sz w:val="24"/>
              </w:rPr>
              <w:t>自合同签订之日起</w:t>
            </w:r>
            <w:r>
              <w:rPr>
                <w:rFonts w:ascii="仿宋_GB2312" w:hAnsi="仿宋_GB2312" w:cs="仿宋_GB2312" w:eastAsia="仿宋_GB2312"/>
                <w:sz w:val="24"/>
              </w:rPr>
              <w:t>至指标报备入库通过省级审核</w:t>
            </w:r>
            <w:r>
              <w:rPr>
                <w:rFonts w:ascii="仿宋_GB2312" w:hAnsi="仿宋_GB2312" w:cs="仿宋_GB2312" w:eastAsia="仿宋_GB2312"/>
                <w:sz w:val="24"/>
              </w:rPr>
              <w:t>止</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付款方式：</w:t>
            </w:r>
            <w:r>
              <w:rPr>
                <w:rFonts w:ascii="仿宋_GB2312" w:hAnsi="仿宋_GB2312" w:cs="仿宋_GB2312" w:eastAsia="仿宋_GB2312"/>
                <w:sz w:val="24"/>
              </w:rPr>
              <w:t>合同签订后支付项目总合同额的</w:t>
            </w:r>
            <w:r>
              <w:rPr>
                <w:rFonts w:ascii="仿宋_GB2312" w:hAnsi="仿宋_GB2312" w:cs="仿宋_GB2312" w:eastAsia="仿宋_GB2312"/>
                <w:sz w:val="24"/>
              </w:rPr>
              <w:t>4</w:t>
            </w:r>
            <w:r>
              <w:rPr>
                <w:rFonts w:ascii="仿宋_GB2312" w:hAnsi="仿宋_GB2312" w:cs="仿宋_GB2312" w:eastAsia="仿宋_GB2312"/>
                <w:sz w:val="24"/>
              </w:rPr>
              <w:t>0%；</w:t>
            </w:r>
            <w:r>
              <w:rPr>
                <w:rFonts w:ascii="仿宋_GB2312" w:hAnsi="仿宋_GB2312" w:cs="仿宋_GB2312" w:eastAsia="仿宋_GB2312"/>
                <w:sz w:val="24"/>
              </w:rPr>
              <w:t>成果</w:t>
            </w:r>
            <w:r>
              <w:rPr>
                <w:rFonts w:ascii="仿宋_GB2312" w:hAnsi="仿宋_GB2312" w:cs="仿宋_GB2312" w:eastAsia="仿宋_GB2312"/>
                <w:sz w:val="24"/>
              </w:rPr>
              <w:t>通过省级审查后，支付项目总合同额的</w:t>
            </w:r>
            <w:r>
              <w:rPr>
                <w:rFonts w:ascii="仿宋_GB2312" w:hAnsi="仿宋_GB2312" w:cs="仿宋_GB2312" w:eastAsia="仿宋_GB2312"/>
                <w:sz w:val="24"/>
              </w:rPr>
              <w:t>6</w:t>
            </w:r>
            <w:r>
              <w:rPr>
                <w:rFonts w:ascii="仿宋_GB2312" w:hAnsi="仿宋_GB2312" w:cs="仿宋_GB2312" w:eastAsia="仿宋_GB2312"/>
                <w:sz w:val="24"/>
              </w:rPr>
              <w:t>0%。</w:t>
            </w:r>
          </w:p>
          <w:p>
            <w:pPr>
              <w:pStyle w:val="null3"/>
              <w:jc w:val="both"/>
            </w:pPr>
            <w:r>
              <w:rPr>
                <w:rFonts w:ascii="仿宋_GB2312" w:hAnsi="仿宋_GB2312" w:cs="仿宋_GB2312" w:eastAsia="仿宋_GB2312"/>
                <w:sz w:val="24"/>
                <w:b/>
              </w:rPr>
              <w:t>六、其他</w:t>
            </w:r>
          </w:p>
          <w:p>
            <w:pPr>
              <w:pStyle w:val="null3"/>
              <w:jc w:val="left"/>
            </w:pPr>
            <w:r>
              <w:rPr>
                <w:rFonts w:ascii="仿宋_GB2312" w:hAnsi="仿宋_GB2312" w:cs="仿宋_GB2312" w:eastAsia="仿宋_GB2312"/>
                <w:sz w:val="24"/>
                <w:b/>
                <w:color w:val="000000"/>
              </w:rPr>
              <w:t>（一）对供应商的业绩要求</w:t>
            </w:r>
          </w:p>
          <w:p>
            <w:pPr>
              <w:pStyle w:val="null3"/>
              <w:ind w:right="285" w:firstLine="480"/>
              <w:jc w:val="both"/>
            </w:pPr>
            <w:r>
              <w:rPr>
                <w:rFonts w:ascii="仿宋_GB2312" w:hAnsi="仿宋_GB2312" w:cs="仿宋_GB2312" w:eastAsia="仿宋_GB2312"/>
                <w:sz w:val="24"/>
                <w:color w:val="000000"/>
              </w:rPr>
              <w:t>20</w:t>
            </w:r>
            <w:r>
              <w:rPr>
                <w:rFonts w:ascii="仿宋_GB2312" w:hAnsi="仿宋_GB2312" w:cs="仿宋_GB2312" w:eastAsia="仿宋_GB2312"/>
                <w:sz w:val="24"/>
                <w:color w:val="000000"/>
              </w:rPr>
              <w:t>2</w:t>
            </w:r>
            <w:r>
              <w:rPr>
                <w:rFonts w:ascii="仿宋_GB2312" w:hAnsi="仿宋_GB2312" w:cs="仿宋_GB2312" w:eastAsia="仿宋_GB2312"/>
                <w:sz w:val="24"/>
                <w:color w:val="000000"/>
              </w:rPr>
              <w:t>1</w:t>
            </w:r>
            <w:r>
              <w:rPr>
                <w:rFonts w:ascii="仿宋_GB2312" w:hAnsi="仿宋_GB2312" w:cs="仿宋_GB2312" w:eastAsia="仿宋_GB2312"/>
                <w:sz w:val="24"/>
                <w:color w:val="000000"/>
              </w:rPr>
              <w:t>年至今</w:t>
            </w:r>
            <w:r>
              <w:rPr>
                <w:rFonts w:ascii="仿宋_GB2312" w:hAnsi="仿宋_GB2312" w:cs="仿宋_GB2312" w:eastAsia="仿宋_GB2312"/>
                <w:sz w:val="24"/>
                <w:color w:val="000000"/>
              </w:rPr>
              <w:t>（</w:t>
            </w:r>
            <w:r>
              <w:rPr>
                <w:rFonts w:ascii="仿宋_GB2312" w:hAnsi="仿宋_GB2312" w:cs="仿宋_GB2312" w:eastAsia="仿宋_GB2312"/>
                <w:sz w:val="24"/>
                <w:color w:val="000000"/>
              </w:rPr>
              <w:t>以合同签订日期为准</w:t>
            </w:r>
            <w:r>
              <w:rPr>
                <w:rFonts w:ascii="仿宋_GB2312" w:hAnsi="仿宋_GB2312" w:cs="仿宋_GB2312" w:eastAsia="仿宋_GB2312"/>
                <w:sz w:val="24"/>
                <w:color w:val="000000"/>
              </w:rPr>
              <w:t>）</w:t>
            </w:r>
            <w:r>
              <w:rPr>
                <w:rFonts w:ascii="仿宋_GB2312" w:hAnsi="仿宋_GB2312" w:cs="仿宋_GB2312" w:eastAsia="仿宋_GB2312"/>
                <w:sz w:val="24"/>
                <w:color w:val="000000"/>
              </w:rPr>
              <w:t>类似项目</w:t>
            </w:r>
            <w:r>
              <w:rPr>
                <w:rFonts w:ascii="仿宋_GB2312" w:hAnsi="仿宋_GB2312" w:cs="仿宋_GB2312" w:eastAsia="仿宋_GB2312"/>
                <w:sz w:val="24"/>
                <w:color w:val="000000"/>
              </w:rPr>
              <w:t>业绩</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b/>
                <w:color w:val="000000"/>
              </w:rPr>
              <w:t>（二）进度要求</w:t>
            </w:r>
          </w:p>
          <w:p>
            <w:pPr>
              <w:pStyle w:val="null3"/>
              <w:ind w:firstLine="480"/>
              <w:jc w:val="both"/>
            </w:pPr>
            <w:r>
              <w:rPr>
                <w:rFonts w:ascii="仿宋_GB2312" w:hAnsi="仿宋_GB2312" w:cs="仿宋_GB2312" w:eastAsia="仿宋_GB2312"/>
                <w:sz w:val="24"/>
              </w:rPr>
              <w:t>成交单位应按照</w:t>
            </w:r>
            <w:r>
              <w:rPr>
                <w:rFonts w:ascii="仿宋_GB2312" w:hAnsi="仿宋_GB2312" w:cs="仿宋_GB2312" w:eastAsia="仿宋_GB2312"/>
                <w:sz w:val="24"/>
              </w:rPr>
              <w:t>省、市要求的时间节点要求，制定核定的</w:t>
            </w:r>
            <w:r>
              <w:rPr>
                <w:rFonts w:ascii="仿宋_GB2312" w:hAnsi="仿宋_GB2312" w:cs="仿宋_GB2312" w:eastAsia="仿宋_GB2312"/>
                <w:sz w:val="24"/>
              </w:rPr>
              <w:t>工作计划，提交</w:t>
            </w:r>
            <w:r>
              <w:rPr>
                <w:rFonts w:ascii="仿宋_GB2312" w:hAnsi="仿宋_GB2312" w:cs="仿宋_GB2312" w:eastAsia="仿宋_GB2312"/>
                <w:sz w:val="24"/>
              </w:rPr>
              <w:t>项目成果，并通过</w:t>
            </w:r>
            <w:r>
              <w:rPr>
                <w:rFonts w:ascii="仿宋_GB2312" w:hAnsi="仿宋_GB2312" w:cs="仿宋_GB2312" w:eastAsia="仿宋_GB2312"/>
                <w:sz w:val="24"/>
              </w:rPr>
              <w:t>市、省级</w:t>
            </w:r>
            <w:r>
              <w:rPr>
                <w:rFonts w:ascii="仿宋_GB2312" w:hAnsi="仿宋_GB2312" w:cs="仿宋_GB2312" w:eastAsia="仿宋_GB2312"/>
                <w:sz w:val="24"/>
              </w:rPr>
              <w:t>审查</w:t>
            </w:r>
            <w:r>
              <w:rPr>
                <w:rFonts w:ascii="仿宋_GB2312" w:hAnsi="仿宋_GB2312" w:cs="仿宋_GB2312" w:eastAsia="仿宋_GB2312"/>
                <w:sz w:val="24"/>
              </w:rPr>
              <w:t>。</w:t>
            </w:r>
          </w:p>
          <w:p>
            <w:pPr>
              <w:pStyle w:val="null3"/>
            </w:pPr>
            <w:r>
              <w:rPr>
                <w:rFonts w:ascii="仿宋_GB2312" w:hAnsi="仿宋_GB2312" w:cs="仿宋_GB2312" w:eastAsia="仿宋_GB2312"/>
                <w:sz w:val="24"/>
                <w:b/>
                <w:color w:val="000000"/>
              </w:rPr>
              <w:t>（三）成果交付要求</w:t>
            </w:r>
          </w:p>
          <w:p>
            <w:pPr>
              <w:pStyle w:val="null3"/>
              <w:ind w:firstLine="480"/>
              <w:jc w:val="both"/>
            </w:pPr>
            <w:r>
              <w:rPr>
                <w:rFonts w:ascii="仿宋_GB2312" w:hAnsi="仿宋_GB2312" w:cs="仿宋_GB2312" w:eastAsia="仿宋_GB2312"/>
                <w:sz w:val="24"/>
              </w:rPr>
              <w:t>1、成果完整性：</w:t>
            </w:r>
            <w:r>
              <w:rPr>
                <w:rFonts w:ascii="仿宋_GB2312" w:hAnsi="仿宋_GB2312" w:cs="仿宋_GB2312" w:eastAsia="仿宋_GB2312"/>
                <w:sz w:val="24"/>
                <w:color w:val="000000"/>
              </w:rPr>
              <w:t>蓝田县</w:t>
            </w:r>
            <w:r>
              <w:rPr>
                <w:rFonts w:ascii="仿宋_GB2312" w:hAnsi="仿宋_GB2312" w:cs="仿宋_GB2312" w:eastAsia="仿宋_GB2312"/>
                <w:sz w:val="24"/>
                <w:color w:val="000000"/>
              </w:rPr>
              <w:t>耕地占补平衡补充耕地指标核定入库工作</w:t>
            </w:r>
            <w:r>
              <w:rPr>
                <w:rFonts w:ascii="仿宋_GB2312" w:hAnsi="仿宋_GB2312" w:cs="仿宋_GB2312" w:eastAsia="仿宋_GB2312"/>
                <w:sz w:val="24"/>
              </w:rPr>
              <w:t>成果应当完整、详细、清晰，包括</w:t>
            </w:r>
            <w:r>
              <w:rPr>
                <w:rFonts w:ascii="仿宋_GB2312" w:hAnsi="仿宋_GB2312" w:cs="仿宋_GB2312" w:eastAsia="仿宋_GB2312"/>
                <w:sz w:val="24"/>
              </w:rPr>
              <w:t>举证照片、正射影像、成果报告等</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2、成果质量要求：</w:t>
            </w:r>
            <w:r>
              <w:rPr>
                <w:rFonts w:ascii="仿宋_GB2312" w:hAnsi="仿宋_GB2312" w:cs="仿宋_GB2312" w:eastAsia="仿宋_GB2312"/>
                <w:sz w:val="24"/>
                <w:color w:val="000000"/>
              </w:rPr>
              <w:t>蓝田县</w:t>
            </w:r>
            <w:r>
              <w:rPr>
                <w:rFonts w:ascii="仿宋_GB2312" w:hAnsi="仿宋_GB2312" w:cs="仿宋_GB2312" w:eastAsia="仿宋_GB2312"/>
                <w:sz w:val="24"/>
                <w:color w:val="000000"/>
              </w:rPr>
              <w:t>耕地占补平衡补充耕地指标核定入库工作</w:t>
            </w:r>
            <w:r>
              <w:rPr>
                <w:rFonts w:ascii="仿宋_GB2312" w:hAnsi="仿宋_GB2312" w:cs="仿宋_GB2312" w:eastAsia="仿宋_GB2312"/>
                <w:sz w:val="24"/>
              </w:rPr>
              <w:t>成果</w:t>
            </w:r>
            <w:r>
              <w:rPr>
                <w:rFonts w:ascii="仿宋_GB2312" w:hAnsi="仿宋_GB2312" w:cs="仿宋_GB2312" w:eastAsia="仿宋_GB2312"/>
                <w:sz w:val="24"/>
              </w:rPr>
              <w:t>应当符合国家和地方的有关法律法规和相关政策要求，同时要遵循科学、合理、可行的原则，确保成果</w:t>
            </w:r>
            <w:r>
              <w:rPr>
                <w:rFonts w:ascii="仿宋_GB2312" w:hAnsi="仿宋_GB2312" w:cs="仿宋_GB2312" w:eastAsia="仿宋_GB2312"/>
                <w:sz w:val="24"/>
              </w:rPr>
              <w:t>通过省、市级审查</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3、交付方式要求：</w:t>
            </w:r>
            <w:r>
              <w:rPr>
                <w:rFonts w:ascii="仿宋_GB2312" w:hAnsi="仿宋_GB2312" w:cs="仿宋_GB2312" w:eastAsia="仿宋_GB2312"/>
                <w:sz w:val="24"/>
                <w:color w:val="000000"/>
              </w:rPr>
              <w:t>蓝田县</w:t>
            </w:r>
            <w:r>
              <w:rPr>
                <w:rFonts w:ascii="仿宋_GB2312" w:hAnsi="仿宋_GB2312" w:cs="仿宋_GB2312" w:eastAsia="仿宋_GB2312"/>
                <w:sz w:val="24"/>
                <w:color w:val="000000"/>
              </w:rPr>
              <w:t>耕地占补平衡补充耕地指标核定入库工作</w:t>
            </w:r>
            <w:r>
              <w:rPr>
                <w:rFonts w:ascii="仿宋_GB2312" w:hAnsi="仿宋_GB2312" w:cs="仿宋_GB2312" w:eastAsia="仿宋_GB2312"/>
                <w:sz w:val="24"/>
              </w:rPr>
              <w:t>成果</w:t>
            </w:r>
            <w:r>
              <w:rPr>
                <w:rFonts w:ascii="仿宋_GB2312" w:hAnsi="仿宋_GB2312" w:cs="仿宋_GB2312" w:eastAsia="仿宋_GB2312"/>
                <w:sz w:val="24"/>
              </w:rPr>
              <w:t>应当以纸质和电子版两种形式进行交付，同时要确保交付方式的规范和合法，避免出现不必要的纠纷和争议；</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color w:val="000000"/>
              </w:rPr>
              <w:t>蓝田县</w:t>
            </w:r>
            <w:r>
              <w:rPr>
                <w:rFonts w:ascii="仿宋_GB2312" w:hAnsi="仿宋_GB2312" w:cs="仿宋_GB2312" w:eastAsia="仿宋_GB2312"/>
                <w:sz w:val="24"/>
                <w:color w:val="000000"/>
              </w:rPr>
              <w:t>耕地占补平衡补充耕地指标核定入库工作</w:t>
            </w:r>
            <w:r>
              <w:rPr>
                <w:rFonts w:ascii="仿宋_GB2312" w:hAnsi="仿宋_GB2312" w:cs="仿宋_GB2312" w:eastAsia="仿宋_GB2312"/>
                <w:sz w:val="24"/>
              </w:rPr>
              <w:t>成果</w:t>
            </w:r>
            <w:r>
              <w:rPr>
                <w:rFonts w:ascii="仿宋_GB2312" w:hAnsi="仿宋_GB2312" w:cs="仿宋_GB2312" w:eastAsia="仿宋_GB2312"/>
                <w:sz w:val="24"/>
              </w:rPr>
              <w:t>交付的要求需要确保成果的完整性、准确性和合理性，同时要遵循国家和地方的法律法规和政策要求，以规范、合法的方式进行交付和应用。</w:t>
            </w:r>
          </w:p>
          <w:p>
            <w:pPr>
              <w:pStyle w:val="null3"/>
            </w:pPr>
            <w:r>
              <w:rPr>
                <w:rFonts w:ascii="仿宋_GB2312" w:hAnsi="仿宋_GB2312" w:cs="仿宋_GB2312" w:eastAsia="仿宋_GB2312"/>
                <w:sz w:val="24"/>
                <w:b/>
                <w:color w:val="000000"/>
              </w:rPr>
              <w:t>（四）质量验收标准或规范</w:t>
            </w:r>
          </w:p>
          <w:p>
            <w:pPr>
              <w:pStyle w:val="null3"/>
              <w:ind w:firstLine="480"/>
              <w:jc w:val="both"/>
            </w:pPr>
            <w:r>
              <w:rPr>
                <w:rFonts w:ascii="仿宋_GB2312" w:hAnsi="仿宋_GB2312" w:cs="仿宋_GB2312" w:eastAsia="仿宋_GB2312"/>
                <w:sz w:val="24"/>
              </w:rPr>
              <w:t>成果质量合格，符合</w:t>
            </w:r>
            <w:r>
              <w:rPr>
                <w:rFonts w:ascii="仿宋_GB2312" w:hAnsi="仿宋_GB2312" w:cs="仿宋_GB2312" w:eastAsia="仿宋_GB2312"/>
                <w:sz w:val="24"/>
              </w:rPr>
              <w:t>市</w:t>
            </w:r>
            <w:r>
              <w:rPr>
                <w:rFonts w:ascii="仿宋_GB2312" w:hAnsi="仿宋_GB2312" w:cs="仿宋_GB2312" w:eastAsia="仿宋_GB2312"/>
                <w:sz w:val="24"/>
              </w:rPr>
              <w:t>、</w:t>
            </w:r>
            <w:r>
              <w:rPr>
                <w:rFonts w:ascii="仿宋_GB2312" w:hAnsi="仿宋_GB2312" w:cs="仿宋_GB2312" w:eastAsia="仿宋_GB2312"/>
                <w:sz w:val="24"/>
              </w:rPr>
              <w:t>省级审查</w:t>
            </w:r>
            <w:r>
              <w:rPr>
                <w:rFonts w:ascii="仿宋_GB2312" w:hAnsi="仿宋_GB2312" w:cs="仿宋_GB2312" w:eastAsia="仿宋_GB2312"/>
                <w:sz w:val="24"/>
              </w:rPr>
              <w:t>要求。</w:t>
            </w:r>
          </w:p>
          <w:p>
            <w:pPr>
              <w:pStyle w:val="null3"/>
              <w:jc w:val="left"/>
              <w:outlineLvl w:val="2"/>
            </w:pPr>
            <w:r>
              <w:rPr>
                <w:rFonts w:ascii="仿宋_GB2312" w:hAnsi="仿宋_GB2312" w:cs="仿宋_GB2312" w:eastAsia="仿宋_GB2312"/>
                <w:sz w:val="24"/>
                <w:b/>
              </w:rPr>
              <w:t>（五）违约责任</w:t>
            </w:r>
          </w:p>
          <w:p>
            <w:pPr>
              <w:pStyle w:val="null3"/>
              <w:ind w:firstLine="480"/>
              <w:jc w:val="both"/>
            </w:pPr>
            <w:r>
              <w:rPr>
                <w:rFonts w:ascii="仿宋_GB2312" w:hAnsi="仿宋_GB2312" w:cs="仿宋_GB2312" w:eastAsia="仿宋_GB2312"/>
                <w:sz w:val="24"/>
              </w:rPr>
              <w:t>1、按《中华人民共和国民法典》中的相关条款执行。</w:t>
            </w:r>
          </w:p>
          <w:p>
            <w:pPr>
              <w:pStyle w:val="null3"/>
              <w:ind w:firstLine="480"/>
              <w:jc w:val="both"/>
            </w:pPr>
            <w:r>
              <w:rPr>
                <w:rFonts w:ascii="仿宋_GB2312" w:hAnsi="仿宋_GB2312" w:cs="仿宋_GB2312" w:eastAsia="仿宋_GB2312"/>
                <w:sz w:val="24"/>
              </w:rPr>
              <w:t>2、未按合同要求提供服务质量不能满足采购要求的，甲方会同相关单位，有权终止合同和对成交单位违约进行追究。</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、甲方应按合同规定时间和金额向乙方支付技术服务费，未及时支付的，乙方有权暂停工作，延长工期。</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若乙方由于自身原因要求终止或解除合同，应承担合同款</w:t>
            </w:r>
            <w:r>
              <w:rPr>
                <w:rFonts w:ascii="仿宋_GB2312" w:hAnsi="仿宋_GB2312" w:cs="仿宋_GB2312" w:eastAsia="仿宋_GB2312"/>
                <w:sz w:val="24"/>
              </w:rPr>
              <w:t>10%的违约金。</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拟投入项目团队知识构架要全面，团队人员需具有土地、规划、农业、测绘、地理信息等技术能力，组建专业技术团队，在规定时间内完成蓝田县耕地占补平衡补充耕地指标核定入库工作。</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具有履行本项目所必需的专业测绘设备和技术能力。</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提交成果符合省、市相关技术标准要求，通过省、市各级验收，报备入库通过省、市审查。</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自合同签订之日起至指标报备入库通过省级审核止。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1、成果完整性：蓝田县耕地占补平衡补充耕地指标核定入库工作成果应当完整、详细、清晰，包括举证照片、正射影像、成果报告等； 2、成果质量要求：蓝田县耕地占补平衡补充耕地指标核定入库工作成果应当符合国家和地方的有关法律法规和相关政策要求，同时要遵循科学、合理、可行的原则，确保成果通过省、市级审查； 3、交付方式要求：蓝田县耕地占补平衡补充耕地指标核定入库工作成果应当以纸质和电子版两种形式进行交付，同时要确保交付方式的规范和合法，避免出现不必要的纠纷和争议； 4、蓝田县耕地占补平衡补充耕地指标核定入库工作成果交付的要求需要确保成果的完整性、准确性和合理性，同时要遵循国家和地方的法律法规和政策要求，以规范、合法的方式进行交付和应用。</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成果通过省级审查后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2、未按合同要求提供服务质量不能满足采购要求的，甲方会同相关单位，有权终止合同和对成交单位违约进行追究。 3、甲方应按合同规定时间和金额向乙方支付技术服务费，未及时支付的，乙方有权暂停工作，延长工期。 4、若乙方由于自身原因要求终止或解除合同，应承担合同款10%的违约金。</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响应函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 力</w:t>
            </w:r>
          </w:p>
        </w:tc>
        <w:tc>
          <w:tcPr>
            <w:tcW w:type="dxa" w:w="3322"/>
          </w:tcPr>
          <w:p>
            <w:pPr>
              <w:pStyle w:val="null3"/>
            </w:pPr>
            <w:r>
              <w:rPr>
                <w:rFonts w:ascii="仿宋_GB2312" w:hAnsi="仿宋_GB2312" w:cs="仿宋_GB2312" w:eastAsia="仿宋_GB2312"/>
              </w:rPr>
              <w:t>根据投标供应商类别进行提供：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法定代表人授权书（法定代表人直接参加磋商，须提供法定代表人身份证明）（提供法人或委托人近三个月社保证明）。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投标供应商须同时具备乙级及以上测绘资质证书和乙级及以上土地规划资质证书。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供应商信用要求</w:t>
            </w:r>
          </w:p>
        </w:tc>
        <w:tc>
          <w:tcPr>
            <w:tcW w:type="dxa" w:w="3322"/>
          </w:tcPr>
          <w:p>
            <w:pPr>
              <w:pStyle w:val="null3"/>
            </w:pPr>
            <w:r>
              <w:rPr>
                <w:rFonts w:ascii="仿宋_GB2312" w:hAnsi="仿宋_GB2312" w:cs="仿宋_GB2312" w:eastAsia="仿宋_GB2312"/>
              </w:rPr>
              <w:t>（1）投标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2）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提供2023年度经审计的财务报告（成立时间至提交投标文件截止时间不足一年的可提供成立后任意时段的资产负债表），或投标截止日期前6个月内银行出具的资信证明。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提供具有履行合同所必需的设备和专业技术能力的承诺（格式自拟）。</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提供非联合体磋商声明。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响应文件以下三处的项目名称、项目编号、标段（未分标 段的除外）无遗漏，且与本项目一致： （1）封面； （2）响应函； （3）法定代表人（主要负责人）委托授权书/身份证明。 说明：以第一章磋商公告中的项目名称、项目编号为准。</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响应文件组成</w:t>
            </w:r>
          </w:p>
        </w:tc>
        <w:tc>
          <w:tcPr>
            <w:tcW w:type="dxa" w:w="3322"/>
          </w:tcPr>
          <w:p>
            <w:pPr>
              <w:pStyle w:val="null3"/>
            </w:pPr>
            <w:r>
              <w:rPr>
                <w:rFonts w:ascii="仿宋_GB2312" w:hAnsi="仿宋_GB2312" w:cs="仿宋_GB2312" w:eastAsia="仿宋_GB2312"/>
              </w:rPr>
              <w:t>符合竞争性磋商文件格式要求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签字、盖章符合磋商文件要求，且无遗漏。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 （1）磋商报价符合唯一性要求； (2) 计量单位、报价货币均符合磋商文件要求； (3) 磋商报价未超出采购预算或磋商文件规定的最高限 价。</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完全理解并接受法律法规和竞争性磋商文件对供应商的 各项须知、规约要求和责任义务，没有出现法律法规或磋 商文件明确规定的其他被视为“无效响应”的情形。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落实政府采购政策需满 足的资格要求</w:t>
            </w:r>
          </w:p>
        </w:tc>
        <w:tc>
          <w:tcPr>
            <w:tcW w:type="dxa" w:w="3322"/>
          </w:tcPr>
          <w:p>
            <w:pPr>
              <w:pStyle w:val="null3"/>
            </w:pPr>
            <w:r>
              <w:rPr>
                <w:rFonts w:ascii="仿宋_GB2312" w:hAnsi="仿宋_GB2312" w:cs="仿宋_GB2312" w:eastAsia="仿宋_GB2312"/>
              </w:rPr>
              <w:t>本项目为专门面向中小企业项目，供应商应为中型、小 型、微型企业或监狱企业或残疾人福利性单位。供应商为 中型、小型、微型企业的，提供《中小企业声明函》，供 应商为监狱企业的，应提供监狱企业的证明文件；供应商 为残疾人福利性单位的，应提供《残疾人福利性单位声明 函》（监狱企业或残疾人福利性单位视同小型、微型企业）。</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实施方案先进、方案周密、思路清晰合理、可操作性强、科学性强,任务明确，但不限于上述所要求内容，得(6-10 分]:方案完整、具有可操作性、科学性，任务较为明确，得(2-6分]: 服务方案一般、具有一定的操作性、科学性较弱，任务不明确，得[0-2分]; 服务方案较差，有重大缺陷的不得分。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项目进度安排合理、工序管理措施科学、服务期滞后弥补办法完善、突发情况应急办法充足，但不限于上述所要求内容，得(6-10分]:较为合理、工序管理措施科学、工期滞后弥补办法、突发情况应急办法较为充足，得(2-6]分;有明显瑕疵或重大缺陷，得[0-2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供应商提供的质量管理保证措施</w:t>
            </w:r>
          </w:p>
        </w:tc>
        <w:tc>
          <w:tcPr>
            <w:tcW w:type="dxa" w:w="2492"/>
          </w:tcPr>
          <w:p>
            <w:pPr>
              <w:pStyle w:val="null3"/>
            </w:pPr>
            <w:r>
              <w:rPr>
                <w:rFonts w:ascii="仿宋_GB2312" w:hAnsi="仿宋_GB2312" w:cs="仿宋_GB2312" w:eastAsia="仿宋_GB2312"/>
              </w:rPr>
              <w:t>(1)供应商针对本项目编写的质量管理保证措施全面、条理清晰，充分结合本项目实际情况的计(6-10 分]； (2)供应商针对本项目编写的质量管理保证措施能满足本项目实施、内容有缺漏但不影响项目实施，未充分结合本项目实际情况的计(3-6分]；(3)不符合上述两种情形的计[0-3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供应商提供的合理化建议</w:t>
            </w:r>
          </w:p>
        </w:tc>
        <w:tc>
          <w:tcPr>
            <w:tcW w:type="dxa" w:w="2492"/>
          </w:tcPr>
          <w:p>
            <w:pPr>
              <w:pStyle w:val="null3"/>
            </w:pPr>
            <w:r>
              <w:rPr>
                <w:rFonts w:ascii="仿宋_GB2312" w:hAnsi="仿宋_GB2312" w:cs="仿宋_GB2312" w:eastAsia="仿宋_GB2312"/>
              </w:rPr>
              <w:t>（1）供应商的建议内容完善（包括但不限于服务过程中对采购人的优化建议等）， 条理清晰（主旨突出），针对性强能够体现供应商专业能力的计（4-8 分]； （2）提供不完善（包括但不限于服务过程中对采购人的优化建议等）内容没有针 对性、有缺漏项或不提供计[0-4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供应商针对本项目投入人员情况</w:t>
            </w:r>
          </w:p>
        </w:tc>
        <w:tc>
          <w:tcPr>
            <w:tcW w:type="dxa" w:w="2492"/>
          </w:tcPr>
          <w:p>
            <w:pPr>
              <w:pStyle w:val="null3"/>
            </w:pPr>
            <w:r>
              <w:rPr>
                <w:rFonts w:ascii="仿宋_GB2312" w:hAnsi="仿宋_GB2312" w:cs="仿宋_GB2312" w:eastAsia="仿宋_GB2312"/>
              </w:rPr>
              <w:t>1、项目负责人具备土地规划类高级职称得5分，中级职称得3分，其他不得分;(0-5分) 2、拟投入项目团队人员知识构架全面，专业涵盖土地、规划、农业、测绘、地理信息。拟投入人员拥有以上相关专业中级职称15人(含 15 人)以上的，得15分，10人(含10 人)以上的得 10 分,5人(含5人)以上的得5分;5人以下的得0-4分。(0-15分)注：提供拟投入人员的近三个月社保证明</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供应商提供的重点、难点及解决措施</w:t>
            </w:r>
          </w:p>
        </w:tc>
        <w:tc>
          <w:tcPr>
            <w:tcW w:type="dxa" w:w="2492"/>
          </w:tcPr>
          <w:p>
            <w:pPr>
              <w:pStyle w:val="null3"/>
            </w:pPr>
            <w:r>
              <w:rPr>
                <w:rFonts w:ascii="仿宋_GB2312" w:hAnsi="仿宋_GB2312" w:cs="仿宋_GB2312" w:eastAsia="仿宋_GB2312"/>
              </w:rPr>
              <w:t>(1)供应商针对本项目编写的重点、难点及解决措施全面(包含但不限于重、难点分析、风险点分析、项目实施过程中可能遇到的的问题、解决方案等)、条理清晰，充分结合本项目实际情况考虑的计(6-10分]；(2)供应商针对本项目编写的重点、难点及解决措施能满足本项目实施(包含但不限于重、难点分析、风险点分析、项目实施过程中可能遇到的的问题、解决方案等)、内容有缺漏但不影响项目实施，未充分结合本项目实际考虑的计(3-6分]；(3)不符合上述两种情形的计[0-3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近三年(2021年1月1日至今)内有类似业绩的，每份计3分，计满15分为止(以响应文件中提供的合同扫描件加盖公章为准)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供应商提供的服务承诺</w:t>
            </w:r>
          </w:p>
        </w:tc>
        <w:tc>
          <w:tcPr>
            <w:tcW w:type="dxa" w:w="2492"/>
          </w:tcPr>
          <w:p>
            <w:pPr>
              <w:pStyle w:val="null3"/>
            </w:pPr>
            <w:r>
              <w:rPr>
                <w:rFonts w:ascii="仿宋_GB2312" w:hAnsi="仿宋_GB2312" w:cs="仿宋_GB2312" w:eastAsia="仿宋_GB2312"/>
              </w:rPr>
              <w:t>（1）供应商的服务承诺内容完善（包括但不限于服务质量承诺、服务期、人员到 位、合同签订后项目实施等方面），条理清晰（主旨突出）的计（4-7 分]； （2）提供不完善（包括但不限于服务质量承诺、服务期、人员到位、合同签订后 项目实施等方面）内容有缺漏项或不提供计[0-4 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价格分采用低价优先法计算，即满足磋商文件要求且磋商响应价格最低的报价为评标基准价，其价格分为满分。其他供应商的价格分统一按照下列公式计算:磋商报价得分=(评审基准价/磋商报价)x10。 注:符合采购政策的按政策执行。</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详见附件：合同草案条款.docx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