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版本号：SDZC2025-02120250306001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2024年第一批市级财政农业农村发展专项资金（农业科教环能）项目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SDZC2025-021</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2024年第一批市级财政农业农村发展专项资金（农业科教环能）项目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2024年第一批市级财政农业农村发展专项资金（农业科教环能）项目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通过对蓝田县中轻度污染耕地落实安全利用措施，完成2024年度受污染耕地安全利用工作。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3、税收缴纳证明：税收缴纳证明：提供截止至开标时间前一年内任意一个月的缴纳凭据（包含增值税、企业所得税至少一种）；（依法免税的供应商应提供相关文件证明）。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 前六个月内任意一个月的社保缴纳凭据或社保 机构开具的社会保险参保缴纳情况证明；（依法不需要缴纳社会保障资金的供应商应提供相 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马晓锋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13679124515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国家计委关于印发&lt;招标代理服务收费管理暂行办法&gt;的通知》(计价格〔2002〕1980号)、《国家发展改革委关于降低部分建设项目收费标准规范收费行为等有关问题的通知》(发改价格〔2011〕534号)规定执行。 1.开户行名称：陕西上德招标有限公司 2.开 户 行：西安银行股份有限公司文景路支行 3.帐 号：7070 1151 0000 0135 22 4.西安银行文景路行号：313791000509 财务部联系方式： 029-86673953、029-86518381、029-89299829、029-89293231 转8033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1、实现全县安全利用类耕地内食用农产品可食部位中目标污染物含量符合《食品安全国家标准食品中污染物限量》GB2762-2022。 2、通过落实安全利用技术措施，耕地土壤质量达到相关政策要求，受污染耕地安全利用率达到93%以上； 3、对于安全利用类耕地内农作物产量减产率低于10%。</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联系人：宋芳芳（11号工位）、王涛、魏蕾</w:t>
      </w:r>
    </w:p>
    <w:p>
      <w:pPr>
        <w:pStyle w:val="null3"/>
      </w:pPr>
      <w:r>
        <w:rPr>
          <w:rFonts w:ascii="仿宋_GB2312" w:hAnsi="仿宋_GB2312" w:cs="仿宋_GB2312" w:eastAsia="仿宋_GB2312"/>
        </w:rPr>
        <w:t>联系电话：029-86673953、86518381转8011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通过对蓝田县中轻度污染耕地落实安全利用措施，完成2024年度受污染耕地安全利用工作。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2024年第一批市级财政农业农村发展专项资金（农业科教环能）项目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标的名称：2024年第一批市级财政农业农村发展专项资金（农业科教环能）项目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服务内容及要求</w:t>
            </w:r>
          </w:p>
        </w:tc>
        <w:tc>
          <w:tcPr>
            <w:tcW w:type="dxa" w:w="2076"/>
          </w:tcPr>
          <w:p>
            <w:pPr>
              <w:pStyle w:val="null3"/>
              <w:jc w:val="both"/>
            </w:pPr>
            <w:r>
              <w:rPr>
                <w:rFonts w:ascii="仿宋_GB2312" w:hAnsi="仿宋_GB2312" w:cs="仿宋_GB2312" w:eastAsia="仿宋_GB2312"/>
              </w:rPr>
              <w:t>一、项目实施范围和面积</w:t>
            </w:r>
          </w:p>
          <w:p>
            <w:pPr>
              <w:pStyle w:val="null3"/>
            </w:pPr>
            <w:r>
              <w:rPr>
                <w:rFonts w:ascii="仿宋_GB2312" w:hAnsi="仿宋_GB2312" w:cs="仿宋_GB2312" w:eastAsia="仿宋_GB2312"/>
              </w:rPr>
              <w:t>项目实施范围为蓝田县蓝关街办、三里镇和灞源镇等3个镇，轻中度污染耕地面积1190.56亩，目标污染因子主要为镉、铅元素。项目工期为1年。</w:t>
            </w:r>
          </w:p>
          <w:p>
            <w:pPr>
              <w:pStyle w:val="null3"/>
            </w:pPr>
            <w:r>
              <w:rPr>
                <w:rFonts w:ascii="仿宋_GB2312" w:hAnsi="仿宋_GB2312" w:cs="仿宋_GB2312" w:eastAsia="仿宋_GB2312"/>
              </w:rPr>
              <w:t>二、项目实施目标：通过对蓝田县中轻度污染耕地落实安全利用措施，完成2024年度受污染耕地安全利用工作。</w:t>
            </w:r>
          </w:p>
          <w:p>
            <w:pPr>
              <w:pStyle w:val="null3"/>
            </w:pPr>
            <w:r>
              <w:rPr>
                <w:rFonts w:ascii="仿宋_GB2312" w:hAnsi="仿宋_GB2312" w:cs="仿宋_GB2312" w:eastAsia="仿宋_GB2312"/>
              </w:rPr>
              <w:t>具体目标：</w:t>
            </w:r>
          </w:p>
          <w:p>
            <w:pPr>
              <w:pStyle w:val="null3"/>
            </w:pPr>
            <w:r>
              <w:rPr>
                <w:rFonts w:ascii="仿宋_GB2312" w:hAnsi="仿宋_GB2312" w:cs="仿宋_GB2312" w:eastAsia="仿宋_GB2312"/>
              </w:rPr>
              <w:t>1、全县1190.56亩中轻度受污染耕地全部落实安全利用技术措施。根据受污染耕地实际编制安全利用工作技术方案，应用农艺调控、土壤改良、生物修复、无人机喷施叶面阻控剂等安全利用技术措施，使耕地土壤质量达到相关政策要求，受污染耕地安全利用率达到93%以上。</w:t>
            </w:r>
          </w:p>
          <w:p>
            <w:pPr>
              <w:pStyle w:val="null3"/>
            </w:pPr>
            <w:r>
              <w:rPr>
                <w:rFonts w:ascii="仿宋_GB2312" w:hAnsi="仿宋_GB2312" w:cs="仿宋_GB2312" w:eastAsia="仿宋_GB2312"/>
              </w:rPr>
              <w:t>2、开展适宜安全利用技术模式的研究示范，建设技术示范点2个，综合应用低累积品种、农艺调控、土壤钝化及叶面阻控等技术措施，探索筛选适合本区域受污染耕地安全利用的主推技术模式及农作物推荐清单1套。</w:t>
            </w:r>
          </w:p>
          <w:p>
            <w:pPr>
              <w:pStyle w:val="null3"/>
            </w:pPr>
            <w:r>
              <w:rPr>
                <w:rFonts w:ascii="仿宋_GB2312" w:hAnsi="仿宋_GB2312" w:cs="仿宋_GB2312" w:eastAsia="仿宋_GB2312"/>
              </w:rPr>
              <w:t xml:space="preserve">3、实现全县安全利用类耕地内食用农产品可食部位中目标污染物含量符合《食品安全国家标准 食品中污染物限量》GB2762-2022。  </w:t>
            </w:r>
          </w:p>
          <w:p>
            <w:pPr>
              <w:pStyle w:val="null3"/>
            </w:pPr>
            <w:r>
              <w:rPr>
                <w:rFonts w:ascii="仿宋_GB2312" w:hAnsi="仿宋_GB2312" w:cs="仿宋_GB2312" w:eastAsia="仿宋_GB2312"/>
              </w:rPr>
              <w:t>4、安全利用类耕地内农作物产量减产率低于10%。</w:t>
            </w:r>
          </w:p>
          <w:p>
            <w:pPr>
              <w:pStyle w:val="null3"/>
            </w:pPr>
            <w:r>
              <w:rPr>
                <w:rFonts w:ascii="仿宋_GB2312" w:hAnsi="仿宋_GB2312" w:cs="仿宋_GB2312" w:eastAsia="仿宋_GB2312"/>
              </w:rPr>
              <w:t>三、项目技术要求</w:t>
            </w:r>
          </w:p>
          <w:p>
            <w:pPr>
              <w:pStyle w:val="null3"/>
            </w:pPr>
            <w:r>
              <w:rPr>
                <w:rFonts w:ascii="仿宋_GB2312" w:hAnsi="仿宋_GB2312" w:cs="仿宋_GB2312" w:eastAsia="仿宋_GB2312"/>
              </w:rPr>
              <w:t>根据《蓝田县2024年受污染耕地安全利用及严格管控工作方案》要求，项目工期为1年。受污染耕地安全利用技术措施应综合考虑蓝田县耕地受污染程度和主要种植作物类型，所选用技术措施应符合农业农村部《轻中度污染耕地安全利用与治理修复推荐技术名录》，同时在受污染耕地治理和修复过程中所使用的肥料、土壤调理剂、阻控剂、钝化剂等耕地投入品，须符合相关国家标准，禁止使用重金属超标的投入品，不可对土壤、地下水、大气等周边环境造成二次污染。</w:t>
            </w:r>
          </w:p>
          <w:p>
            <w:pPr>
              <w:pStyle w:val="null3"/>
              <w:jc w:val="both"/>
            </w:pPr>
            <w:r>
              <w:rPr>
                <w:rFonts w:ascii="仿宋_GB2312" w:hAnsi="仿宋_GB2312" w:cs="仿宋_GB2312" w:eastAsia="仿宋_GB2312"/>
              </w:rPr>
              <w:t>注：服务内容及要求为实质性响应，不得负偏离。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项目工期为1年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项目实施范围为蓝田县蓝关街办、三里镇和灞源镇等3个镇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1、实现全县安全利用类耕地内食用农产品可食部位中目标污染物含量符合《食品安全国家标准食品中污染物限量》GB2762-2022。 2、通过落实安全利用技术措施，耕地土壤质量达到相关政策要求，受污染耕地安全利用率达到93%以上； 3、对于安全利用类耕地内农作物产量减产率低于10%。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领取成交通知书时，提供一正两副纸质版磋商响应文件。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税收缴纳证明：提供截止至开标时间前一年内任意一个月的缴纳凭据（包含增值税、企业所得税至少一种）；（依法免税的供应商应提供相关文件证明）。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 前六个月内任意一个月的社保缴纳凭据或社保 机构开具的社会保险参保缴纳情况证明；（依法不需要缴纳社会保障资金的供应商应提供相 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标的清单 报价表 响应函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中小企业声明函 分项报价.docx 商务条款响应偏离表.docx 服务条款响应偏离表.docx 资格证明文件.docx 法定代表人授权书.docx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对磋商文件商务要求、技术要求作出明确响应</w:t>
            </w:r>
          </w:p>
        </w:tc>
        <w:tc>
          <w:tcPr>
            <w:tcW w:type="dxa" w:w="3322"/>
          </w:tcPr>
          <w:p>
            <w:pPr>
              <w:pStyle w:val="null3"/>
            </w:pPr>
            <w:r>
              <w:rPr>
                <w:rFonts w:ascii="仿宋_GB2312" w:hAnsi="仿宋_GB2312" w:cs="仿宋_GB2312" w:eastAsia="仿宋_GB2312"/>
              </w:rPr>
              <w:t>对磋商文件商务要求作出明确响应；对磋商文件技术要求作出明确响应，对不得偏离的要求作了实质性响应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响应文件封面 供应商参与政府采购活动的承诺函.docx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响应函 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评审得分相同的，按照最后报价由低到高的顺序推荐。评审得分且最后报价相同的，则依次比较整体服务方案得分，拟派项目组人员得分，以得分高的排序在先。</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整体服务方案1</w:t>
            </w:r>
          </w:p>
        </w:tc>
        <w:tc>
          <w:tcPr>
            <w:tcW w:type="dxa" w:w="2492"/>
          </w:tcPr>
          <w:p>
            <w:pPr>
              <w:pStyle w:val="null3"/>
            </w:pPr>
            <w:r>
              <w:rPr>
                <w:rFonts w:ascii="仿宋_GB2312" w:hAnsi="仿宋_GB2312" w:cs="仿宋_GB2312" w:eastAsia="仿宋_GB2312"/>
              </w:rPr>
              <w:t>整体服务方案：根据对项目的整体理解、项目特点、达到的目标，提供完整的服务方案，方案内容详细、合理、规范，能充分体现专业技术能力，包括总体方案、实施方案、工作流程等。 1）整体方案内容详细，全面，对项目理解透彻，符合项目特点的计10分； 2）整体方案内容全面，但目标不明确的计8分； 3）方案仅有整体框架，未具体且详细进行描述的计6分； 4）方案内容逻辑不清晰，对项目不理解且不符合项目特点的或方案内容无重点的计4分； 5）方案内容无可行性的或描述不合理或内容总体简单的计3分； 6）方案内容缺一项的计2分； 7）方案内容缺2项以上的计1分； 8）未提供相关内容的不计分。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整体服务方案2</w:t>
            </w:r>
          </w:p>
        </w:tc>
        <w:tc>
          <w:tcPr>
            <w:tcW w:type="dxa" w:w="2492"/>
          </w:tcPr>
          <w:p>
            <w:pPr>
              <w:pStyle w:val="null3"/>
            </w:pPr>
            <w:r>
              <w:rPr>
                <w:rFonts w:ascii="仿宋_GB2312" w:hAnsi="仿宋_GB2312" w:cs="仿宋_GB2312" w:eastAsia="仿宋_GB2312"/>
              </w:rPr>
              <w:t>项目需求、重点、难点分析：供应商能够充分理解本项目需求，对项目重点难点进行分析并提供技术建议。 1）对项目需求、重点、难点的分析透彻合理科学，能提供有效的技术建议的计5分； 2）针对项目提供的技术建议比较宽泛，内容无重点的计4分。 3）内容描述混乱，不合理或内容总体简单的计3分； 4）对项目需求、重点、难点分析理解不透彻，提供的建议无针对性的计2分； 5）内容有欠缺的或对项目需求不理解，提供的建议不具备实施性1分； 6）未提供相关内容的不计分。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整体服务方案3</w:t>
            </w:r>
          </w:p>
        </w:tc>
        <w:tc>
          <w:tcPr>
            <w:tcW w:type="dxa" w:w="2492"/>
          </w:tcPr>
          <w:p>
            <w:pPr>
              <w:pStyle w:val="null3"/>
            </w:pPr>
            <w:r>
              <w:rPr>
                <w:rFonts w:ascii="仿宋_GB2312" w:hAnsi="仿宋_GB2312" w:cs="仿宋_GB2312" w:eastAsia="仿宋_GB2312"/>
              </w:rPr>
              <w:t>根据所提供的服务进度、计划的安排方案和控制措施是否紧密有效、详尽完善且安排合理等方面综合评审。 1）内容详细全面，进度、计划、措施安排合理的计10分； 2）进度、计划方案，措施内容全面，但内容描述无重点或内容宽泛的计8分； 3）服务计划内容不详细或计划安排不紧凑的计6分； 4）对项目理解不透彻，进度、计划安排不具有合理性的计4分； 5）内容有一项欠缺的计2分； 6）内容2项以上欠缺的计1分； 7）未提供相关内容的不计分。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整体服务方案4</w:t>
            </w:r>
          </w:p>
        </w:tc>
        <w:tc>
          <w:tcPr>
            <w:tcW w:type="dxa" w:w="2492"/>
          </w:tcPr>
          <w:p>
            <w:pPr>
              <w:pStyle w:val="null3"/>
            </w:pPr>
            <w:r>
              <w:rPr>
                <w:rFonts w:ascii="仿宋_GB2312" w:hAnsi="仿宋_GB2312" w:cs="仿宋_GB2312" w:eastAsia="仿宋_GB2312"/>
              </w:rPr>
              <w:t>所使用的肥料、土壤调理剂、阻控剂、钝化剂等耕地投入品详细，明确，符合国家相关标准，禁止使用重金属超标的投入品，不可对土壤、地下水、大气等周边环境造成二次污染，需提供检测报告等相关证明材料。 1）证明材料齐全，详细，全面的计5分； 2）证明材料不全面的或耕地投入品不明确的计2分； 3）未提供相关内容的不计分。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整体服务方案5</w:t>
            </w:r>
          </w:p>
        </w:tc>
        <w:tc>
          <w:tcPr>
            <w:tcW w:type="dxa" w:w="2492"/>
          </w:tcPr>
          <w:p>
            <w:pPr>
              <w:pStyle w:val="null3"/>
            </w:pPr>
            <w:r>
              <w:rPr>
                <w:rFonts w:ascii="仿宋_GB2312" w:hAnsi="仿宋_GB2312" w:cs="仿宋_GB2312" w:eastAsia="仿宋_GB2312"/>
              </w:rPr>
              <w:t>管理措施及保证措施：有完整可行的实施计划、质量管理体系健全、针对本项目有先进、可行、具体的服务保证措施及项目任务的管理制度、具体可行的质量违约责任承诺。 1）整体内容详细，全面，对项目理解透彻，符合项目特点的计10分； 2）整体内容全面，但质量保证措施不清晰的计8分； 3）内容仅有整体框架，未具体且详细对每个阶段进行描述的计6分； 4）内容逻辑不清晰，项目实施过程不切合实际情况或任务管理制度不符合项目特点的计4分； 5）内容无可行性的或描述不合理的计3分； 6）内容缺一项的计2分； 7）内容缺2项以上的计1分； 8）未提供相关内容的不计分。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整体服务方案6</w:t>
            </w:r>
          </w:p>
        </w:tc>
        <w:tc>
          <w:tcPr>
            <w:tcW w:type="dxa" w:w="2492"/>
          </w:tcPr>
          <w:p>
            <w:pPr>
              <w:pStyle w:val="null3"/>
            </w:pPr>
            <w:r>
              <w:rPr>
                <w:rFonts w:ascii="仿宋_GB2312" w:hAnsi="仿宋_GB2312" w:cs="仿宋_GB2312" w:eastAsia="仿宋_GB2312"/>
              </w:rPr>
              <w:t>供应商依据本项目的理解，为采购人提供有利于项目实施的合理化建议，按其内容综合评审。 1）合理化建议内容完整全面、详尽合理、有针对性的计5分； 2）建议内容条款有针对性内容，表述简单，可操作性欠缺的计3分； 3）建议空泛，不具备项目针对性、表述不合理的计1分； 4）未提供相关内容的不计分。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整体服务方案7</w:t>
            </w:r>
          </w:p>
        </w:tc>
        <w:tc>
          <w:tcPr>
            <w:tcW w:type="dxa" w:w="2492"/>
          </w:tcPr>
          <w:p>
            <w:pPr>
              <w:pStyle w:val="null3"/>
            </w:pPr>
            <w:r>
              <w:rPr>
                <w:rFonts w:ascii="仿宋_GB2312" w:hAnsi="仿宋_GB2312" w:cs="仿宋_GB2312" w:eastAsia="仿宋_GB2312"/>
              </w:rPr>
              <w:t>履约能力：履约能力承诺详细、具体,包括但不限于资金筹措、投入设备、人员素质、管理水平等方面； 1）履约能力内容详细、全面的，计5分； 2）只有框架，无实质性内容的或条理不清晰的，计3分； 3）内容缺项的或只有简单概括的，计1分； 4）没有履约能力的不计分。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以合同形式提供供应商2022年1月至今同类项目业绩，每份计2分，计满8分为止；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拟派项目组人员1</w:t>
            </w:r>
          </w:p>
        </w:tc>
        <w:tc>
          <w:tcPr>
            <w:tcW w:type="dxa" w:w="2492"/>
          </w:tcPr>
          <w:p>
            <w:pPr>
              <w:pStyle w:val="null3"/>
            </w:pPr>
            <w:r>
              <w:rPr>
                <w:rFonts w:ascii="仿宋_GB2312" w:hAnsi="仿宋_GB2312" w:cs="仿宋_GB2312" w:eastAsia="仿宋_GB2312"/>
              </w:rPr>
              <w:t>供应商组织机构健全，实行项目负责制，管理计划、制度等详细完整。 1）企业组织机构健全、各项管理制度全面具体、计划详细完整，计7分， 2）企业组织机构健全、有管理制度但内容不具体，管理计划重点不突出，计5分， 3）企业组织机构不健全，管制制度缺失，管理计划混乱，计3分； 4）企业组织机构不健全，无管理制度及管理计划，计1分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拟派项目组人员2</w:t>
            </w:r>
          </w:p>
        </w:tc>
        <w:tc>
          <w:tcPr>
            <w:tcW w:type="dxa" w:w="2492"/>
          </w:tcPr>
          <w:p>
            <w:pPr>
              <w:pStyle w:val="null3"/>
            </w:pPr>
            <w:r>
              <w:rPr>
                <w:rFonts w:ascii="仿宋_GB2312" w:hAnsi="仿宋_GB2312" w:cs="仿宋_GB2312" w:eastAsia="仿宋_GB2312"/>
              </w:rPr>
              <w:t>拟派人员配置合理齐全，后备力量有保障，职责划分明确，能力符合行业要求，结合团队人员拟派情况及工作经验等因素进行赋分。 1）团队人员素质高、配置合理、职责划分明确，计7分； 2）人员配置合理，但专业搭配不足，职责划分不具体，计5分； 3）人员配置不合理，未体现工作经验，职责划分混乱，计3分； 4）人员配置不合理，无职责划分，计1分； 5）未提供人员配置不计分。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1）服务承诺完善详细、措施具体、对采购人的指导全面合理的计8分； 2）服务承诺内容完整但条理不清晰、措施及指导建议不具体的计6分； 3）服务承诺重点不明确、无保障措施、无对采购人的相关指导的计3分； 4）服务承诺只有框架无实质性内容、无可行性的计1分； 5）未提供相关内容的不计分。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