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版本号：SXCC–[2025]–DL02120250424001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孟村镇段家村出行路硬化项目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SXCC–[2025]–DL021</w:t>
      </w:r>
      <w:r>
        <w:br/>
      </w:r>
      <w:r>
        <w:br/>
      </w:r>
      <w:r>
        <w:br/>
      </w:r>
    </w:p>
    <w:p>
      <w:pPr>
        <w:pStyle w:val="null3"/>
        <w:jc w:val="center"/>
        <w:outlineLvl w:val="2"/>
      </w:pPr>
      <w:r>
        <w:rPr>
          <w:rFonts w:ascii="仿宋_GB2312" w:hAnsi="仿宋_GB2312" w:cs="仿宋_GB2312" w:eastAsia="仿宋_GB2312"/>
          <w:sz w:val="28"/>
          <w:b/>
        </w:rPr>
        <w:t>西安市蓝田县孟村镇人民政府（本级）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西安市蓝田县孟村镇人民政府（本级）</w:t>
      </w:r>
      <w:r>
        <w:rPr>
          <w:rFonts w:ascii="仿宋_GB2312" w:hAnsi="仿宋_GB2312" w:cs="仿宋_GB2312" w:eastAsia="仿宋_GB2312"/>
        </w:rPr>
        <w:t>委托，拟对</w:t>
      </w:r>
      <w:r>
        <w:rPr>
          <w:rFonts w:ascii="仿宋_GB2312" w:hAnsi="仿宋_GB2312" w:cs="仿宋_GB2312" w:eastAsia="仿宋_GB2312"/>
        </w:rPr>
        <w:t>孟村镇段家村出行路硬化项目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孟村镇段家村出行路硬化项目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孟村镇段家村出行路硬化项目，主要建设内容新建水泥混凝土路面3790m²,新建C20片石混凝土挡墙255.17m³,新建1-0.75钢筋混凝土圆管涵1道，有效提升村容村貌，带动脱贫人口致富，方便村民出行，提高村民收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采购包1（孟村镇段家村出行路硬化项目）：属于专门面向中小企业采购。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1、授权委托书及身份证明：法定代表人授权书（法定代表人直接参加投标，须提供法定代表人身份证明）</w:t>
      </w:r>
    </w:p>
    <w:p>
      <w:pPr>
        <w:pStyle w:val="null3"/>
      </w:pPr>
      <w:r>
        <w:rPr>
          <w:rFonts w:ascii="仿宋_GB2312" w:hAnsi="仿宋_GB2312" w:cs="仿宋_GB2312" w:eastAsia="仿宋_GB2312"/>
        </w:rPr>
        <w:t>2、资质证书：投标供应商须具备行业主管部门颁发的市政公用工程施工总承包三级及以上资质或公路工程施工总承包三级及以上资质并具有有效的安全生产许可证</w:t>
      </w:r>
    </w:p>
    <w:p>
      <w:pPr>
        <w:pStyle w:val="null3"/>
      </w:pPr>
      <w:r>
        <w:rPr>
          <w:rFonts w:ascii="仿宋_GB2312" w:hAnsi="仿宋_GB2312" w:cs="仿宋_GB2312" w:eastAsia="仿宋_GB2312"/>
        </w:rPr>
        <w:t>3、项目经理资格：投标供应商拟派项目经理须具备行业主管部门颁发的市政公用工程专业或公路工程专业二级及以上建造师资质及有效的安全生产考核合格证书（建安B证），在本单位注册且无在建工程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5、信息查询：投标供应商基本信息及项目经理基本信息应在“陕西建设网（http://js.shaanxi.gov.cn/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6、承诺书：1、投标供应商不得在各级诚信信息平台被列为投标受限制的行为人； 2、本项目不接受联合体投标，单位负责人为同一人或者存在直接控股、管理关系的不同供应商，不得参加同一合同项下的政府采购活动。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西安市蓝田县孟村镇人民政府（本级）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蓝田县孟村镇街道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029-82912166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和改革委员会办公厅颁发的《关于招标代理服务收费有关问题的通知》（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西安市蓝田县孟村镇人民政府（本级）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西安市蓝田县孟村镇人民政府（本级）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西安市蓝田县孟村镇人民政府（本级）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653,000.00</w:t>
      </w:r>
    </w:p>
    <w:p>
      <w:pPr>
        <w:pStyle w:val="null3"/>
      </w:pPr>
      <w:r>
        <w:rPr>
          <w:rFonts w:ascii="仿宋_GB2312" w:hAnsi="仿宋_GB2312" w:cs="仿宋_GB2312" w:eastAsia="仿宋_GB2312"/>
        </w:rPr>
        <w:t>采购包最高限价（元）: 653,000.00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孟村镇段家村出行路硬化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标的名称：孟村镇段家村出行路硬化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color w:val="000000"/>
              </w:rPr>
              <w:t xml:space="preserve">    一、项目概况</w:t>
            </w:r>
          </w:p>
          <w:p>
            <w:pPr>
              <w:pStyle w:val="null3"/>
              <w:ind w:firstLine="560"/>
              <w:jc w:val="both"/>
            </w:pPr>
            <w:r>
              <w:rPr>
                <w:rFonts w:ascii="仿宋_GB2312" w:hAnsi="仿宋_GB2312" w:cs="仿宋_GB2312" w:eastAsia="仿宋_GB2312"/>
                <w:sz w:val="18"/>
                <w:color w:val="000000"/>
                <w:shd w:fill="FFFFFF" w:val="clear"/>
              </w:rPr>
              <w:t>本项目为</w:t>
            </w:r>
            <w:r>
              <w:rPr>
                <w:rFonts w:ascii="仿宋_GB2312" w:hAnsi="仿宋_GB2312" w:cs="仿宋_GB2312" w:eastAsia="仿宋_GB2312"/>
                <w:sz w:val="18"/>
                <w:color w:val="000000"/>
                <w:shd w:fill="FFFFFF" w:val="clear"/>
              </w:rPr>
              <w:t>孟村镇段家村出行路硬化项目，</w:t>
            </w:r>
            <w:r>
              <w:rPr>
                <w:rFonts w:ascii="仿宋_GB2312" w:hAnsi="仿宋_GB2312" w:cs="仿宋_GB2312" w:eastAsia="仿宋_GB2312"/>
                <w:sz w:val="18"/>
                <w:color w:val="000000"/>
                <w:shd w:fill="FFFFFF" w:val="clear"/>
              </w:rPr>
              <w:t>主要建设内容</w:t>
            </w:r>
            <w:r>
              <w:rPr>
                <w:rFonts w:ascii="仿宋_GB2312" w:hAnsi="仿宋_GB2312" w:cs="仿宋_GB2312" w:eastAsia="仿宋_GB2312"/>
                <w:sz w:val="18"/>
                <w:shd w:fill="FFFFFF" w:val="clear"/>
              </w:rPr>
              <w:t>新建水泥混凝土路面</w:t>
            </w:r>
            <w:r>
              <w:rPr>
                <w:rFonts w:ascii="仿宋_GB2312" w:hAnsi="仿宋_GB2312" w:cs="仿宋_GB2312" w:eastAsia="仿宋_GB2312"/>
                <w:sz w:val="18"/>
                <w:shd w:fill="FFFFFF" w:val="clear"/>
              </w:rPr>
              <w:t>3790m²,新建C20片石混凝土挡墙255.17m³,新建1-0.75钢筋混凝土圆管涵1道，有效提升村容村貌，带动脱贫人口致富，方便村民出行，提高村民收入</w:t>
            </w:r>
            <w:r>
              <w:rPr>
                <w:rFonts w:ascii="仿宋_GB2312" w:hAnsi="仿宋_GB2312" w:cs="仿宋_GB2312" w:eastAsia="仿宋_GB2312"/>
                <w:sz w:val="18"/>
                <w:color w:val="000000"/>
                <w:shd w:fill="FFFFFF" w:val="clear"/>
              </w:rPr>
              <w:t>。</w:t>
            </w:r>
            <w:r>
              <w:rPr>
                <w:rFonts w:ascii="仿宋_GB2312" w:hAnsi="仿宋_GB2312" w:cs="仿宋_GB2312" w:eastAsia="仿宋_GB2312"/>
                <w:sz w:val="18"/>
                <w:shd w:fill="FFFFFF" w:val="clear"/>
              </w:rPr>
              <w:t xml:space="preserve"> </w:t>
            </w:r>
          </w:p>
          <w:p>
            <w:pPr>
              <w:pStyle w:val="null3"/>
              <w:jc w:val="both"/>
            </w:pPr>
            <w:r>
              <w:rPr>
                <w:rFonts w:ascii="仿宋_GB2312" w:hAnsi="仿宋_GB2312" w:cs="仿宋_GB2312" w:eastAsia="仿宋_GB2312"/>
                <w:sz w:val="18"/>
                <w:b/>
                <w:color w:val="000000"/>
              </w:rPr>
              <w:t xml:space="preserve">    二、项目情况</w:t>
            </w:r>
          </w:p>
          <w:p>
            <w:pPr>
              <w:pStyle w:val="null3"/>
              <w:ind w:firstLine="562"/>
              <w:jc w:val="both"/>
            </w:pPr>
            <w:r>
              <w:rPr>
                <w:rFonts w:ascii="仿宋_GB2312" w:hAnsi="仿宋_GB2312" w:cs="仿宋_GB2312" w:eastAsia="仿宋_GB2312"/>
                <w:sz w:val="18"/>
                <w:b/>
                <w:shd w:fill="FFFFFF" w:val="clear"/>
              </w:rPr>
              <w:t>1、</w:t>
            </w:r>
            <w:r>
              <w:rPr>
                <w:rFonts w:ascii="仿宋_GB2312" w:hAnsi="仿宋_GB2312" w:cs="仿宋_GB2312" w:eastAsia="仿宋_GB2312"/>
                <w:sz w:val="18"/>
                <w:b/>
                <w:shd w:fill="FFFFFF" w:val="clear"/>
              </w:rPr>
              <w:t>主要建设内容：</w:t>
            </w:r>
            <w:r>
              <w:rPr>
                <w:rFonts w:ascii="仿宋_GB2312" w:hAnsi="仿宋_GB2312" w:cs="仿宋_GB2312" w:eastAsia="仿宋_GB2312"/>
                <w:sz w:val="18"/>
                <w:shd w:fill="FFFFFF" w:val="clear"/>
              </w:rPr>
              <w:t>新建水泥混凝土路面</w:t>
            </w:r>
            <w:r>
              <w:rPr>
                <w:rFonts w:ascii="仿宋_GB2312" w:hAnsi="仿宋_GB2312" w:cs="仿宋_GB2312" w:eastAsia="仿宋_GB2312"/>
                <w:sz w:val="18"/>
                <w:shd w:fill="FFFFFF" w:val="clear"/>
              </w:rPr>
              <w:t>3790m²,新建C20片石混凝土挡墙255.17m³,新建1-0.75钢筋混凝土圆管涵1道</w:t>
            </w:r>
            <w:r>
              <w:rPr>
                <w:rFonts w:ascii="仿宋_GB2312" w:hAnsi="仿宋_GB2312" w:cs="仿宋_GB2312" w:eastAsia="仿宋_GB2312"/>
                <w:sz w:val="18"/>
                <w:shd w:fill="FFFFFF" w:val="clear"/>
              </w:rPr>
              <w:t>。</w:t>
            </w:r>
          </w:p>
          <w:p>
            <w:pPr>
              <w:pStyle w:val="null3"/>
              <w:ind w:firstLine="562"/>
              <w:jc w:val="both"/>
            </w:pPr>
            <w:r>
              <w:rPr>
                <w:rFonts w:ascii="仿宋_GB2312" w:hAnsi="仿宋_GB2312" w:cs="仿宋_GB2312" w:eastAsia="仿宋_GB2312"/>
                <w:sz w:val="18"/>
                <w:b/>
                <w:shd w:fill="FFFFFF" w:val="clear"/>
              </w:rPr>
              <w:t>2、工程地点</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蓝田县孟村镇段家村</w:t>
            </w:r>
            <w:r>
              <w:rPr>
                <w:rFonts w:ascii="仿宋_GB2312" w:hAnsi="仿宋_GB2312" w:cs="仿宋_GB2312" w:eastAsia="仿宋_GB2312"/>
                <w:sz w:val="18"/>
                <w:shd w:fill="FFFFFF" w:val="clear"/>
              </w:rPr>
              <w:t>。</w:t>
            </w:r>
          </w:p>
          <w:p>
            <w:pPr>
              <w:pStyle w:val="null3"/>
              <w:ind w:firstLine="562"/>
              <w:jc w:val="both"/>
            </w:pPr>
            <w:r>
              <w:rPr>
                <w:rFonts w:ascii="仿宋_GB2312" w:hAnsi="仿宋_GB2312" w:cs="仿宋_GB2312" w:eastAsia="仿宋_GB2312"/>
                <w:sz w:val="18"/>
                <w:b/>
                <w:shd w:fill="FFFFFF" w:val="clear"/>
              </w:rPr>
              <w:t>3、计划工期</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40</w:t>
            </w:r>
            <w:r>
              <w:rPr>
                <w:rFonts w:ascii="仿宋_GB2312" w:hAnsi="仿宋_GB2312" w:cs="仿宋_GB2312" w:eastAsia="仿宋_GB2312"/>
                <w:sz w:val="18"/>
                <w:shd w:fill="FFFFFF" w:val="clear"/>
              </w:rPr>
              <w:t>日历天</w:t>
            </w:r>
          </w:p>
          <w:p>
            <w:pPr>
              <w:pStyle w:val="null3"/>
              <w:ind w:firstLine="562"/>
              <w:jc w:val="both"/>
            </w:pPr>
            <w:r>
              <w:rPr>
                <w:rFonts w:ascii="仿宋_GB2312" w:hAnsi="仿宋_GB2312" w:cs="仿宋_GB2312" w:eastAsia="仿宋_GB2312"/>
                <w:sz w:val="18"/>
                <w:b/>
                <w:shd w:fill="FFFFFF" w:val="clear"/>
              </w:rPr>
              <w:t>4、缺陷责任期</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自竣工验收之日起</w:t>
            </w:r>
            <w:r>
              <w:rPr>
                <w:rFonts w:ascii="仿宋_GB2312" w:hAnsi="仿宋_GB2312" w:cs="仿宋_GB2312" w:eastAsia="仿宋_GB2312"/>
                <w:sz w:val="18"/>
                <w:shd w:fill="FFFFFF" w:val="clear"/>
              </w:rPr>
              <w:t>1年</w:t>
            </w:r>
          </w:p>
          <w:p>
            <w:pPr>
              <w:pStyle w:val="null3"/>
              <w:ind w:firstLine="562"/>
              <w:jc w:val="both"/>
            </w:pPr>
            <w:r>
              <w:rPr>
                <w:rFonts w:ascii="仿宋_GB2312" w:hAnsi="仿宋_GB2312" w:cs="仿宋_GB2312" w:eastAsia="仿宋_GB2312"/>
                <w:sz w:val="18"/>
                <w:b/>
                <w:shd w:fill="FFFFFF" w:val="clear"/>
              </w:rPr>
              <w:t>5、质量保修期</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自竣工验收合格之日起12个月。</w:t>
            </w:r>
          </w:p>
          <w:p>
            <w:pPr>
              <w:pStyle w:val="null3"/>
              <w:ind w:firstLine="562"/>
              <w:jc w:val="both"/>
            </w:pPr>
            <w:r>
              <w:rPr>
                <w:rFonts w:ascii="仿宋_GB2312" w:hAnsi="仿宋_GB2312" w:cs="仿宋_GB2312" w:eastAsia="仿宋_GB2312"/>
                <w:sz w:val="18"/>
              </w:rPr>
              <w:t>6、</w:t>
            </w:r>
            <w:r>
              <w:rPr>
                <w:rFonts w:ascii="仿宋_GB2312" w:hAnsi="仿宋_GB2312" w:cs="仿宋_GB2312" w:eastAsia="仿宋_GB2312"/>
                <w:sz w:val="18"/>
                <w:b/>
                <w:shd w:fill="FFFFFF" w:val="clear"/>
              </w:rPr>
              <w:t>质量验收标准或规范：</w:t>
            </w:r>
            <w:r>
              <w:rPr>
                <w:rFonts w:ascii="仿宋_GB2312" w:hAnsi="仿宋_GB2312" w:cs="仿宋_GB2312" w:eastAsia="仿宋_GB2312"/>
                <w:sz w:val="18"/>
                <w:shd w:fill="FFFFFF" w:val="clear"/>
              </w:rPr>
              <w:t>符合国家现行有关施工质量验收规范</w:t>
            </w:r>
            <w:r>
              <w:rPr>
                <w:rFonts w:ascii="仿宋_GB2312" w:hAnsi="仿宋_GB2312" w:cs="仿宋_GB2312" w:eastAsia="仿宋_GB2312"/>
                <w:sz w:val="18"/>
                <w:shd w:fill="FFFFFF" w:val="clear"/>
              </w:rPr>
              <w:t>“合格”要求</w:t>
            </w:r>
          </w:p>
          <w:p>
            <w:pPr>
              <w:pStyle w:val="null3"/>
              <w:ind w:firstLine="562"/>
              <w:jc w:val="both"/>
            </w:pPr>
            <w:r>
              <w:rPr>
                <w:rFonts w:ascii="仿宋_GB2312" w:hAnsi="仿宋_GB2312" w:cs="仿宋_GB2312" w:eastAsia="仿宋_GB2312"/>
                <w:sz w:val="18"/>
                <w:b/>
                <w:shd w:fill="FFFFFF" w:val="clear"/>
              </w:rPr>
              <w:t>7、付款方式：</w:t>
            </w:r>
            <w:r>
              <w:rPr>
                <w:rFonts w:ascii="仿宋_GB2312" w:hAnsi="仿宋_GB2312" w:cs="仿宋_GB2312" w:eastAsia="仿宋_GB2312"/>
                <w:sz w:val="18"/>
                <w:shd w:fill="FFFFFF" w:val="clear"/>
              </w:rPr>
              <w:t>（1）合同签订后，甲方向乙方支付合同价款的</w:t>
            </w:r>
            <w:r>
              <w:rPr>
                <w:rFonts w:ascii="仿宋_GB2312" w:hAnsi="仿宋_GB2312" w:cs="仿宋_GB2312" w:eastAsia="仿宋_GB2312"/>
                <w:sz w:val="18"/>
                <w:shd w:fill="FFFFFF" w:val="clear"/>
              </w:rPr>
              <w:t>40</w:t>
            </w:r>
            <w:r>
              <w:rPr>
                <w:rFonts w:ascii="仿宋_GB2312" w:hAnsi="仿宋_GB2312" w:cs="仿宋_GB2312" w:eastAsia="仿宋_GB2312"/>
                <w:sz w:val="18"/>
                <w:shd w:fill="FFFFFF" w:val="clear"/>
              </w:rPr>
              <w:t>%作为预付款。</w:t>
            </w:r>
          </w:p>
          <w:p>
            <w:pPr>
              <w:pStyle w:val="null3"/>
              <w:ind w:firstLine="560"/>
              <w:jc w:val="both"/>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乙方完成合同全部工程量时，</w:t>
            </w:r>
            <w:r>
              <w:rPr>
                <w:rFonts w:ascii="仿宋_GB2312" w:hAnsi="仿宋_GB2312" w:cs="仿宋_GB2312" w:eastAsia="仿宋_GB2312"/>
                <w:sz w:val="18"/>
                <w:color w:val="000000"/>
                <w:shd w:fill="FFFFFF" w:val="clear"/>
              </w:rPr>
              <w:t>甲方向乙方支付至合同总价款的</w:t>
            </w:r>
            <w:r>
              <w:rPr>
                <w:rFonts w:ascii="仿宋_GB2312" w:hAnsi="仿宋_GB2312" w:cs="仿宋_GB2312" w:eastAsia="仿宋_GB2312"/>
                <w:sz w:val="18"/>
                <w:color w:val="000000"/>
                <w:shd w:fill="FFFFFF" w:val="clear"/>
              </w:rPr>
              <w:t>85%，</w:t>
            </w:r>
          </w:p>
          <w:p>
            <w:pPr>
              <w:pStyle w:val="null3"/>
              <w:ind w:firstLine="560"/>
              <w:jc w:val="both"/>
            </w:pPr>
            <w:r>
              <w:rPr>
                <w:rFonts w:ascii="仿宋_GB2312" w:hAnsi="仿宋_GB2312" w:cs="仿宋_GB2312" w:eastAsia="仿宋_GB2312"/>
                <w:sz w:val="18"/>
                <w:color w:val="000000"/>
                <w:shd w:fill="FFFFFF" w:val="clear"/>
              </w:rPr>
              <w:t>（3）</w:t>
            </w:r>
            <w:r>
              <w:rPr>
                <w:rFonts w:ascii="仿宋_GB2312" w:hAnsi="仿宋_GB2312" w:cs="仿宋_GB2312" w:eastAsia="仿宋_GB2312"/>
                <w:sz w:val="18"/>
                <w:shd w:fill="FFFFFF" w:val="clear"/>
              </w:rPr>
              <w:t>甲方组织有关部门验收合格后并</w:t>
            </w:r>
            <w:r>
              <w:rPr>
                <w:rFonts w:ascii="仿宋_GB2312" w:hAnsi="仿宋_GB2312" w:cs="仿宋_GB2312" w:eastAsia="仿宋_GB2312"/>
                <w:sz w:val="18"/>
                <w:shd w:fill="FFFFFF" w:val="clear"/>
              </w:rPr>
              <w:t>经政府相关审计部门审计完成后，支付至审计结算价款的</w:t>
            </w:r>
            <w:r>
              <w:rPr>
                <w:rFonts w:ascii="仿宋_GB2312" w:hAnsi="仿宋_GB2312" w:cs="仿宋_GB2312" w:eastAsia="仿宋_GB2312"/>
                <w:sz w:val="18"/>
                <w:shd w:fill="FFFFFF" w:val="clear"/>
              </w:rPr>
              <w:t>97%，剩余3%待缺陷责任期满后一次性无息支付。</w:t>
            </w:r>
          </w:p>
          <w:p>
            <w:pPr>
              <w:pStyle w:val="null3"/>
              <w:ind w:firstLine="560"/>
            </w:pPr>
            <w:r>
              <w:rPr>
                <w:rFonts w:ascii="仿宋_GB2312" w:hAnsi="仿宋_GB2312" w:cs="仿宋_GB2312" w:eastAsia="仿宋_GB2312"/>
                <w:sz w:val="18"/>
                <w:b/>
              </w:rPr>
              <w:t>三、工程量清单和计价依据</w:t>
            </w:r>
          </w:p>
          <w:p>
            <w:pPr>
              <w:pStyle w:val="null3"/>
              <w:ind w:firstLine="560"/>
              <w:jc w:val="left"/>
            </w:pPr>
            <w:r>
              <w:rPr>
                <w:rFonts w:ascii="仿宋_GB2312" w:hAnsi="仿宋_GB2312" w:cs="仿宋_GB2312" w:eastAsia="仿宋_GB2312"/>
                <w:sz w:val="18"/>
              </w:rPr>
              <w:t>1</w:t>
            </w:r>
            <w:r>
              <w:rPr>
                <w:rFonts w:ascii="仿宋_GB2312" w:hAnsi="仿宋_GB2312" w:cs="仿宋_GB2312" w:eastAsia="仿宋_GB2312"/>
                <w:sz w:val="18"/>
              </w:rPr>
              <w:t>、依据提供资料及答疑回复</w:t>
            </w:r>
            <w:r>
              <w:rPr>
                <w:rFonts w:ascii="仿宋_GB2312" w:hAnsi="仿宋_GB2312" w:cs="仿宋_GB2312" w:eastAsia="仿宋_GB2312"/>
                <w:sz w:val="18"/>
              </w:rPr>
              <w:t>和项目相关的标准、规范等技术资料；</w:t>
            </w:r>
          </w:p>
          <w:p>
            <w:pPr>
              <w:pStyle w:val="null3"/>
              <w:ind w:firstLine="560"/>
              <w:jc w:val="left"/>
            </w:pPr>
            <w:r>
              <w:rPr>
                <w:rFonts w:ascii="仿宋_GB2312" w:hAnsi="仿宋_GB2312" w:cs="仿宋_GB2312" w:eastAsia="仿宋_GB2312"/>
                <w:sz w:val="18"/>
              </w:rPr>
              <w:t>2、</w:t>
            </w:r>
            <w:r>
              <w:rPr>
                <w:rFonts w:ascii="仿宋_GB2312" w:hAnsi="仿宋_GB2312" w:cs="仿宋_GB2312" w:eastAsia="仿宋_GB2312"/>
                <w:sz w:val="18"/>
              </w:rPr>
              <w:t>依据《陕西省建设工程工程量清单计价规则》</w:t>
            </w:r>
            <w:r>
              <w:rPr>
                <w:rFonts w:ascii="仿宋_GB2312" w:hAnsi="仿宋_GB2312" w:cs="仿宋_GB2312" w:eastAsia="仿宋_GB2312"/>
                <w:sz w:val="18"/>
              </w:rPr>
              <w:t>(2009)</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《关于调整陕西省建设工程计价依据的通知》（陕建发</w:t>
            </w:r>
            <w:r>
              <w:rPr>
                <w:rFonts w:ascii="仿宋_GB2312" w:hAnsi="仿宋_GB2312" w:cs="仿宋_GB2312" w:eastAsia="仿宋_GB2312"/>
                <w:sz w:val="18"/>
                <w:color w:val="000000"/>
              </w:rPr>
              <w:t>【</w:t>
            </w:r>
            <w:r>
              <w:rPr>
                <w:rFonts w:ascii="仿宋_GB2312" w:hAnsi="仿宋_GB2312" w:cs="仿宋_GB2312" w:eastAsia="仿宋_GB2312"/>
                <w:sz w:val="18"/>
                <w:color w:val="000000"/>
              </w:rPr>
              <w:t>2019】45号文）；</w:t>
            </w:r>
          </w:p>
          <w:p>
            <w:pPr>
              <w:pStyle w:val="null3"/>
              <w:ind w:firstLine="56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《关于增加建设工程扬尘治理专项措施费》（陕建发【</w:t>
            </w:r>
            <w:r>
              <w:rPr>
                <w:rFonts w:ascii="仿宋_GB2312" w:hAnsi="仿宋_GB2312" w:cs="仿宋_GB2312" w:eastAsia="仿宋_GB2312"/>
                <w:sz w:val="18"/>
                <w:color w:val="000000"/>
              </w:rPr>
              <w:t>2017】270号文件）；</w:t>
            </w:r>
          </w:p>
          <w:p>
            <w:pPr>
              <w:pStyle w:val="null3"/>
              <w:ind w:firstLine="56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《关于发布我省落实建筑工人实名制管理计价依据的通知》</w:t>
            </w:r>
            <w:r>
              <w:rPr>
                <w:rFonts w:ascii="仿宋_GB2312" w:hAnsi="仿宋_GB2312" w:cs="仿宋_GB2312" w:eastAsia="仿宋_GB2312"/>
                <w:sz w:val="18"/>
                <w:color w:val="000000"/>
              </w:rPr>
              <w:t>（陕建发【</w:t>
            </w:r>
            <w:r>
              <w:rPr>
                <w:rFonts w:ascii="仿宋_GB2312" w:hAnsi="仿宋_GB2312" w:cs="仿宋_GB2312" w:eastAsia="仿宋_GB2312"/>
                <w:sz w:val="18"/>
                <w:color w:val="000000"/>
              </w:rPr>
              <w:t>2019】1246号文件）；</w:t>
            </w:r>
          </w:p>
          <w:p>
            <w:pPr>
              <w:pStyle w:val="null3"/>
              <w:ind w:firstLine="56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《陕西省住房和城乡建设厅关于建筑施工安全生产责任保险费用计价的通知》（陕建发【</w:t>
            </w:r>
            <w:r>
              <w:rPr>
                <w:rFonts w:ascii="仿宋_GB2312" w:hAnsi="仿宋_GB2312" w:cs="仿宋_GB2312" w:eastAsia="仿宋_GB2312"/>
                <w:sz w:val="18"/>
                <w:color w:val="000000"/>
              </w:rPr>
              <w:t>2020】1097号文件）；</w:t>
            </w:r>
          </w:p>
          <w:p>
            <w:pPr>
              <w:pStyle w:val="null3"/>
              <w:ind w:firstLine="560"/>
              <w:jc w:val="both"/>
            </w:pPr>
            <w:r>
              <w:rPr>
                <w:rFonts w:ascii="仿宋_GB2312" w:hAnsi="仿宋_GB2312" w:cs="仿宋_GB2312" w:eastAsia="仿宋_GB2312"/>
                <w:sz w:val="18"/>
              </w:rPr>
              <w:t>7、</w:t>
            </w:r>
            <w:r>
              <w:rPr>
                <w:rFonts w:ascii="仿宋_GB2312" w:hAnsi="仿宋_GB2312" w:cs="仿宋_GB2312" w:eastAsia="仿宋_GB2312"/>
                <w:sz w:val="18"/>
              </w:rPr>
              <w:t>正常施工组织设计及施工方法；</w:t>
            </w:r>
          </w:p>
          <w:p>
            <w:pPr>
              <w:pStyle w:val="null3"/>
              <w:ind w:firstLine="560"/>
              <w:jc w:val="both"/>
            </w:pPr>
            <w:r>
              <w:rPr>
                <w:rFonts w:ascii="仿宋_GB2312" w:hAnsi="仿宋_GB2312" w:cs="仿宋_GB2312" w:eastAsia="仿宋_GB2312"/>
                <w:sz w:val="18"/>
              </w:rPr>
              <w:t>8、</w:t>
            </w:r>
            <w:r>
              <w:rPr>
                <w:rFonts w:ascii="仿宋_GB2312" w:hAnsi="仿宋_GB2312" w:cs="仿宋_GB2312" w:eastAsia="仿宋_GB2312"/>
                <w:sz w:val="18"/>
              </w:rPr>
              <w:t>与建设工程项目有关的标准、规范、图集、技术资料；</w:t>
            </w:r>
          </w:p>
          <w:p>
            <w:pPr>
              <w:pStyle w:val="null3"/>
              <w:ind w:firstLine="560"/>
              <w:jc w:val="both"/>
            </w:pPr>
            <w:r>
              <w:rPr>
                <w:rFonts w:ascii="仿宋_GB2312" w:hAnsi="仿宋_GB2312" w:cs="仿宋_GB2312" w:eastAsia="仿宋_GB2312"/>
                <w:sz w:val="18"/>
              </w:rPr>
              <w:t>9、</w:t>
            </w:r>
            <w:r>
              <w:rPr>
                <w:rFonts w:ascii="仿宋_GB2312" w:hAnsi="仿宋_GB2312" w:cs="仿宋_GB2312" w:eastAsia="仿宋_GB2312"/>
                <w:sz w:val="18"/>
              </w:rPr>
              <w:t>设计图纸：《孟村镇段家村出行路硬化项目》设计图纸及图纸设计问题答疑</w:t>
            </w:r>
            <w:r>
              <w:rPr>
                <w:rFonts w:ascii="仿宋_GB2312" w:hAnsi="仿宋_GB2312" w:cs="仿宋_GB2312" w:eastAsia="仿宋_GB2312"/>
                <w:sz w:val="18"/>
              </w:rPr>
              <w:t>。</w:t>
            </w:r>
          </w:p>
          <w:p>
            <w:pPr>
              <w:pStyle w:val="null3"/>
              <w:ind w:firstLine="562"/>
              <w:jc w:val="both"/>
            </w:pPr>
            <w:r>
              <w:rPr>
                <w:rFonts w:ascii="仿宋_GB2312" w:hAnsi="仿宋_GB2312" w:cs="仿宋_GB2312" w:eastAsia="仿宋_GB2312"/>
                <w:sz w:val="18"/>
                <w:b/>
                <w:shd w:fill="FFFFFF" w:val="clear"/>
              </w:rPr>
              <w:t>四、施工要求：</w:t>
            </w:r>
            <w:r>
              <w:rPr>
                <w:rFonts w:ascii="仿宋_GB2312" w:hAnsi="仿宋_GB2312" w:cs="仿宋_GB2312" w:eastAsia="仿宋_GB2312"/>
                <w:sz w:val="18"/>
                <w:shd w:fill="FFFFFF" w:val="clear"/>
              </w:rPr>
              <w:t>在施工期间，中标供应商必须注意人员安全，加强安全措施，并对施工人员进行安全教育。施工人员必须持证上岗。</w:t>
            </w:r>
          </w:p>
          <w:p>
            <w:pPr>
              <w:pStyle w:val="null3"/>
              <w:ind w:firstLine="562"/>
              <w:jc w:val="both"/>
            </w:pPr>
            <w:r>
              <w:rPr>
                <w:rFonts w:ascii="仿宋_GB2312" w:hAnsi="仿宋_GB2312" w:cs="仿宋_GB2312" w:eastAsia="仿宋_GB2312"/>
                <w:sz w:val="18"/>
                <w:b/>
                <w:shd w:fill="FFFFFF" w:val="clear"/>
              </w:rPr>
              <w:t>五、</w:t>
            </w:r>
            <w:r>
              <w:rPr>
                <w:rFonts w:ascii="仿宋_GB2312" w:hAnsi="仿宋_GB2312" w:cs="仿宋_GB2312" w:eastAsia="仿宋_GB2312"/>
                <w:sz w:val="18"/>
                <w:b/>
                <w:shd w:fill="FFFFFF" w:val="clear"/>
              </w:rPr>
              <w:t>编制使用软件</w:t>
            </w:r>
            <w:r>
              <w:rPr>
                <w:rFonts w:ascii="仿宋_GB2312" w:hAnsi="仿宋_GB2312" w:cs="仿宋_GB2312" w:eastAsia="仿宋_GB2312"/>
                <w:sz w:val="18"/>
                <w:b/>
                <w:shd w:fill="FFFFFF" w:val="clear"/>
              </w:rPr>
              <w:t>:</w:t>
            </w:r>
            <w:r>
              <w:rPr>
                <w:rFonts w:ascii="仿宋_GB2312" w:hAnsi="仿宋_GB2312" w:cs="仿宋_GB2312" w:eastAsia="仿宋_GB2312"/>
                <w:sz w:val="18"/>
                <w:shd w:fill="FFFFFF" w:val="clear"/>
              </w:rPr>
              <w:t>采用广联达云计价平台</w:t>
            </w:r>
            <w:r>
              <w:rPr>
                <w:rFonts w:ascii="仿宋_GB2312" w:hAnsi="仿宋_GB2312" w:cs="仿宋_GB2312" w:eastAsia="仿宋_GB2312"/>
                <w:sz w:val="18"/>
                <w:shd w:fill="FFFFFF" w:val="clear"/>
              </w:rPr>
              <w:t>GCCP6.4100.23.122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(2)提供2023年或2024年度经审计的财务报告（成立时间至提交投标文件截止时间不足一年的可提供成立后任意时段的资产负债表），或投标截止时间前6个月内银行出具的资信证明； (3)提供投标文件递交截止日前一年内已缴纳的至少一个月的纳税证明或完税证明，依法免税的单位应提供相关证明材料； (4)提供投标文件递交截止日前一年内已缴存的至少一个月的社会保障资金缴存单据或社保机构开具的社会保险参保缴费情况证明，依法不需要缴纳社会保障资金的单位应提供相关证明材料；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授权委托书及身份证明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投标供应商须具备行业主管部门颁发的市政公用工程施工总承包三级及以上资质或公路工程施工总承包三级及以上资质并具有有效的安全生产许可证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投标供应商拟派项目经理须具备行业主管部门颁发的市政公用工程专业或公路工程专业二级及以上建造师资质及有效的安全生产考核合格证书（建安B证），在本单位注册且无在建工程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投标供应商基本信息及项目经理基本信息应在“陕西建设网（http://js.shaanxi.gov.cn/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1、投标供应商不得在各级诚信信息平台被列为投标受限制的行为人； 2、本项目不接受联合体投标，单位负责人为同一人或者存在直接控股、管理关系的不同供应商，不得参加同一合同项下的政府采购活动。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投标供应商提供2022年4月1日（以合同签订日期为准）至今的类似项目业绩每提供一份得1分，最高得5分。(合同复印件加盖公章附在磋商响应文件中，否则不作为评审依据）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拟投入本项目项目经理部人员及劳动力配置情况，明确负责人、人员组织、人员配备、人员职责等，方案完整，合理可行，得 5-7分；方案较完整，合理性及针对性一般，得 2-4分； 方案不完整，合理性及可行性差，得 0-1分；未提供不得分。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针对本项目制定本工程施工方案包括技术方案、安全方案、材料供应方案等，内容完备、科学、合理、针对性强得7-10分；内容较完备、合理、可行得3-6分；内容一般、基本可行得0-2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项目进度计划和工期目标科学、合理、可行得7-10分； 项目进度计划和工期目标科学、合理性一般、可行性一般得3-6分； 项目进度计划和工期目标不科学、不合理、可行性较差得0-2分。未提供不得分。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质量保证体系及措施科学、合理、可行得7-10分；质量保证体系及措施较科学、较合理、较可行得3-6分；质量保证体系及措施不科学、不合理、可行性较差得0-2分。未提供不得分。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应对紧急预案措施</w:t>
            </w:r>
          </w:p>
        </w:tc>
        <w:tc>
          <w:tcPr>
            <w:tcW w:type="dxa" w:w="2492"/>
          </w:tcPr>
          <w:p>
            <w:pPr>
              <w:pStyle w:val="null3"/>
            </w:pPr>
            <w:r>
              <w:rPr>
                <w:rFonts w:ascii="仿宋_GB2312" w:hAnsi="仿宋_GB2312" w:cs="仿宋_GB2312" w:eastAsia="仿宋_GB2312"/>
              </w:rPr>
              <w:t>施工过程中应对紧急预案措施： 措施方案具体、可行得7-8分； 措施方案基本合理、可行性一般得3-6分； 措施方案不合理、不可行得0-2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确保安全施工、文明施工、降低环境污染的技术组织措施</w:t>
            </w:r>
          </w:p>
        </w:tc>
        <w:tc>
          <w:tcPr>
            <w:tcW w:type="dxa" w:w="2492"/>
          </w:tcPr>
          <w:p>
            <w:pPr>
              <w:pStyle w:val="null3"/>
            </w:pPr>
            <w:r>
              <w:rPr>
                <w:rFonts w:ascii="仿宋_GB2312" w:hAnsi="仿宋_GB2312" w:cs="仿宋_GB2312" w:eastAsia="仿宋_GB2312"/>
              </w:rPr>
              <w:t>文明施工及环境保护措施描述完整、可操作性强、细节描述详细得7-10分；文明施工及环境保护措施描述基本完整、可操作性一般、细节描述基本详细得3-6分；文明施工及环境保护措施描述不完整、可操作性不强、细节描述粗略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施工机械配备和材料投入计划：方案完整、合理可行，得 4-6 分；方案较完整，合理性及针对性一般，得 2-3分；方案不完整，合理性及可行性差，得 0-1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