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pPr>
        <w:widowControl/>
        <w:spacing w:line="560" w:lineRule="exact"/>
        <w:jc w:val="center"/>
        <w:rPr>
          <w:rFonts w:ascii="宋体" w:hAnsi="宋体" w:cs="Times New Roman"/>
          <w:b/>
          <w:bCs/>
          <w:kern w:val="0"/>
          <w:sz w:val="32"/>
          <w:szCs w:val="32"/>
        </w:rPr>
      </w:pPr>
    </w:p>
    <w:p>
      <w:pPr>
        <w:widowControl/>
        <w:spacing w:line="560" w:lineRule="exact"/>
        <w:jc w:val="center"/>
        <w:rPr>
          <w:rFonts w:ascii="宋体" w:hAnsi="宋体" w:cs="Times New Roman"/>
          <w:b/>
          <w:bCs/>
          <w:kern w:val="0"/>
          <w:sz w:val="32"/>
          <w:szCs w:val="32"/>
        </w:rPr>
      </w:pPr>
    </w:p>
    <w:p>
      <w:pPr>
        <w:widowControl/>
        <w:spacing w:line="560" w:lineRule="exact"/>
        <w:jc w:val="center"/>
        <w:rPr>
          <w:rFonts w:ascii="宋体" w:hAnsi="宋体" w:cs="Times New Roman"/>
          <w:b/>
          <w:bCs/>
          <w:kern w:val="0"/>
          <w:sz w:val="32"/>
          <w:szCs w:val="32"/>
        </w:rPr>
      </w:pPr>
    </w:p>
    <w:p>
      <w:pPr>
        <w:widowControl/>
        <w:spacing w:line="560" w:lineRule="exact"/>
        <w:ind w:left="0" w:leftChars="0" w:firstLine="0" w:firstLineChars="0"/>
        <w:jc w:val="both"/>
        <w:rPr>
          <w:rFonts w:ascii="宋体" w:hAnsi="宋体" w:cs="Times New Roman"/>
          <w:b/>
          <w:bCs/>
          <w:kern w:val="0"/>
          <w:sz w:val="32"/>
          <w:szCs w:val="32"/>
        </w:rPr>
      </w:pPr>
    </w:p>
    <w:p>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4045"/>
      <w:bookmarkStart w:id="1" w:name="_Toc17866"/>
      <w:bookmarkStart w:id="2" w:name="_Toc5686"/>
      <w:r>
        <w:rPr>
          <w:rFonts w:ascii="宋体" w:hAnsi="宋体" w:cs="Times New Roman"/>
          <w:b/>
          <w:bCs/>
          <w:kern w:val="0"/>
          <w:sz w:val="56"/>
          <w:szCs w:val="56"/>
        </w:rPr>
        <w:t>陕西省建设工程施工合同</w:t>
      </w:r>
      <w:bookmarkEnd w:id="0"/>
      <w:bookmarkEnd w:id="1"/>
      <w:bookmarkEnd w:id="2"/>
    </w:p>
    <w:p>
      <w:pPr>
        <w:widowControl/>
        <w:spacing w:line="560" w:lineRule="exact"/>
        <w:jc w:val="center"/>
        <w:rPr>
          <w:rFonts w:ascii="宋体" w:hAnsi="宋体" w:cs="Times New Roman"/>
          <w:b/>
          <w:bCs/>
          <w:kern w:val="0"/>
          <w:sz w:val="28"/>
          <w:szCs w:val="28"/>
        </w:rPr>
      </w:pPr>
    </w:p>
    <w:p>
      <w:pPr>
        <w:widowControl/>
        <w:spacing w:line="560" w:lineRule="exact"/>
        <w:jc w:val="center"/>
        <w:rPr>
          <w:rFonts w:ascii="宋体" w:hAnsi="宋体" w:cs="Times New Roman"/>
          <w:b/>
          <w:bCs/>
          <w:kern w:val="0"/>
          <w:sz w:val="28"/>
          <w:szCs w:val="28"/>
        </w:rPr>
      </w:pPr>
    </w:p>
    <w:p>
      <w:pPr>
        <w:widowControl/>
        <w:spacing w:line="560" w:lineRule="exact"/>
        <w:jc w:val="center"/>
        <w:rPr>
          <w:rFonts w:ascii="宋体" w:hAnsi="宋体" w:cs="Times New Roman"/>
          <w:b/>
          <w:bCs/>
          <w:kern w:val="0"/>
          <w:sz w:val="28"/>
          <w:szCs w:val="28"/>
        </w:rPr>
      </w:pPr>
    </w:p>
    <w:p>
      <w:pPr>
        <w:pStyle w:val="2"/>
        <w:rPr>
          <w:rFonts w:ascii="宋体" w:hAnsi="宋体" w:cs="Times New Roman"/>
          <w:b/>
          <w:bCs/>
          <w:kern w:val="0"/>
          <w:sz w:val="28"/>
          <w:szCs w:val="28"/>
        </w:rPr>
      </w:pPr>
    </w:p>
    <w:p>
      <w:pPr>
        <w:pStyle w:val="2"/>
        <w:rPr>
          <w:rFonts w:ascii="宋体" w:hAnsi="宋体" w:cs="Times New Roman"/>
          <w:b/>
          <w:bCs/>
          <w:kern w:val="0"/>
          <w:sz w:val="28"/>
          <w:szCs w:val="28"/>
        </w:rPr>
      </w:pPr>
    </w:p>
    <w:p>
      <w:pPr>
        <w:pStyle w:val="2"/>
        <w:rPr>
          <w:rFonts w:ascii="宋体" w:hAnsi="宋体" w:cs="Times New Roman"/>
          <w:b/>
          <w:bCs/>
          <w:kern w:val="0"/>
          <w:sz w:val="28"/>
          <w:szCs w:val="28"/>
        </w:rPr>
      </w:pPr>
    </w:p>
    <w:p>
      <w:pPr>
        <w:pStyle w:val="2"/>
        <w:rPr>
          <w:rFonts w:hint="eastAsia" w:ascii="宋体" w:hAnsi="宋体" w:cs="Times New Roman"/>
          <w:b/>
          <w:bCs/>
          <w:kern w:val="0"/>
          <w:sz w:val="28"/>
          <w:szCs w:val="28"/>
        </w:rPr>
      </w:pPr>
    </w:p>
    <w:p>
      <w:pPr>
        <w:pStyle w:val="2"/>
        <w:rPr>
          <w:rFonts w:hint="eastAsia" w:ascii="宋体" w:hAnsi="宋体" w:cs="Times New Roman"/>
          <w:b/>
          <w:bCs/>
          <w:kern w:val="0"/>
          <w:sz w:val="28"/>
          <w:szCs w:val="28"/>
        </w:rPr>
      </w:pPr>
    </w:p>
    <w:p>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pPr>
        <w:pStyle w:val="2"/>
        <w:ind w:left="0" w:leftChars="0" w:firstLine="0" w:firstLineChars="0"/>
        <w:rPr>
          <w:rFonts w:hint="eastAsia"/>
        </w:rPr>
      </w:pPr>
    </w:p>
    <w:p>
      <w:pPr>
        <w:adjustRightInd w:val="0"/>
        <w:snapToGrid w:val="0"/>
        <w:spacing w:line="560" w:lineRule="exact"/>
        <w:jc w:val="center"/>
        <w:rPr>
          <w:rFonts w:hint="eastAsia" w:ascii="宋体" w:hAnsi="宋体"/>
          <w:b/>
          <w:sz w:val="28"/>
          <w:szCs w:val="28"/>
        </w:rPr>
      </w:pPr>
    </w:p>
    <w:p>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pPr>
        <w:pStyle w:val="2"/>
        <w:ind w:left="0" w:leftChars="0" w:firstLine="0" w:firstLineChars="0"/>
        <w:rPr>
          <w:rFonts w:hint="default" w:ascii="宋体" w:hAnsi="宋体"/>
          <w:b w:val="0"/>
          <w:bCs/>
          <w:sz w:val="24"/>
          <w:szCs w:val="24"/>
          <w:lang w:val="en-US" w:eastAsia="zh-CN"/>
        </w:rPr>
      </w:pPr>
    </w:p>
    <w:p>
      <w:pPr>
        <w:pStyle w:val="2"/>
        <w:ind w:left="0" w:leftChars="0" w:firstLine="0" w:firstLineChars="0"/>
        <w:rPr>
          <w:rFonts w:hint="default" w:ascii="宋体" w:hAnsi="宋体"/>
          <w:b w:val="0"/>
          <w:bCs/>
          <w:sz w:val="24"/>
          <w:szCs w:val="24"/>
          <w:lang w:val="en-US" w:eastAsia="zh-CN"/>
        </w:rPr>
      </w:pPr>
    </w:p>
    <w:p>
      <w:pPr>
        <w:pStyle w:val="2"/>
        <w:ind w:left="0" w:leftChars="0" w:firstLine="0" w:firstLineChars="0"/>
        <w:rPr>
          <w:rFonts w:hint="default" w:ascii="宋体" w:hAnsi="宋体"/>
          <w:b w:val="0"/>
          <w:bCs/>
          <w:sz w:val="24"/>
          <w:szCs w:val="24"/>
          <w:lang w:val="en-US" w:eastAsia="zh-CN"/>
        </w:rPr>
      </w:pPr>
    </w:p>
    <w:p>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15120"/>
      <w:bookmarkStart w:id="4" w:name="_Toc29884"/>
      <w:bookmarkStart w:id="5" w:name="_Toc3389"/>
      <w:r>
        <w:rPr>
          <w:rFonts w:hint="eastAsia" w:ascii="宋体" w:hAnsi="宋体"/>
          <w:b/>
          <w:sz w:val="32"/>
          <w:szCs w:val="32"/>
        </w:rPr>
        <w:t>第一部分    协议书</w:t>
      </w:r>
      <w:bookmarkEnd w:id="3"/>
      <w:bookmarkEnd w:id="4"/>
      <w:bookmarkEnd w:id="5"/>
    </w:p>
    <w:p>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蓝田县</w:t>
      </w:r>
      <w:r>
        <w:rPr>
          <w:rFonts w:hint="eastAsia" w:ascii="宋体" w:hAnsi="宋体" w:cs="宋体"/>
          <w:kern w:val="0"/>
          <w:sz w:val="24"/>
          <w:szCs w:val="24"/>
          <w:highlight w:val="none"/>
          <w:u w:val="single"/>
          <w:lang w:val="en-US" w:eastAsia="zh-CN"/>
        </w:rPr>
        <w:t>孟村镇</w:t>
      </w:r>
      <w:r>
        <w:rPr>
          <w:rFonts w:hint="eastAsia" w:ascii="宋体" w:hAnsi="宋体"/>
          <w:sz w:val="24"/>
          <w:szCs w:val="24"/>
          <w:highlight w:val="none"/>
          <w:u w:val="single"/>
          <w:lang w:val="en-US" w:eastAsia="zh-CN"/>
        </w:rPr>
        <w:t xml:space="preserve">人民政府  </w:t>
      </w:r>
      <w:r>
        <w:rPr>
          <w:rFonts w:hint="eastAsia" w:ascii="宋体" w:hAnsi="宋体"/>
          <w:sz w:val="24"/>
          <w:szCs w:val="24"/>
          <w:highlight w:val="none"/>
          <w:u w:val="single"/>
        </w:rPr>
        <w:t xml:space="preserve">  </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pPr>
        <w:spacing w:line="520" w:lineRule="exact"/>
        <w:ind w:firstLine="482" w:firstLineChars="200"/>
        <w:outlineLvl w:val="1"/>
        <w:rPr>
          <w:rFonts w:hint="eastAsia" w:ascii="宋体" w:hAnsi="宋体" w:cs="宋体"/>
          <w:b/>
          <w:kern w:val="0"/>
          <w:sz w:val="24"/>
          <w:szCs w:val="24"/>
          <w:highlight w:val="none"/>
        </w:rPr>
      </w:pPr>
      <w:bookmarkStart w:id="6" w:name="_Toc24111"/>
      <w:bookmarkStart w:id="7" w:name="_Toc31967"/>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bookmarkStart w:id="9" w:name="OLE_LINK2"/>
      <w:bookmarkStart w:id="10" w:name="OLE_LINK1"/>
      <w:r>
        <w:rPr>
          <w:rFonts w:hint="eastAsia" w:ascii="宋体" w:hAnsi="宋体" w:cs="宋体"/>
          <w:kern w:val="0"/>
          <w:sz w:val="24"/>
          <w:szCs w:val="24"/>
          <w:highlight w:val="none"/>
          <w:u w:val="single"/>
          <w:lang w:val="en-US" w:eastAsia="zh-CN"/>
        </w:rPr>
        <w:t>孟村镇</w:t>
      </w:r>
      <w:bookmarkEnd w:id="9"/>
      <w:r>
        <w:rPr>
          <w:rFonts w:hint="eastAsia" w:ascii="宋体" w:hAnsi="宋体" w:cs="宋体"/>
          <w:kern w:val="0"/>
          <w:sz w:val="24"/>
          <w:szCs w:val="24"/>
          <w:highlight w:val="none"/>
          <w:u w:val="single"/>
          <w:lang w:val="en-US" w:eastAsia="zh-CN"/>
        </w:rPr>
        <w:t>段家村</w:t>
      </w:r>
      <w:bookmarkEnd w:id="10"/>
      <w:r>
        <w:rPr>
          <w:rFonts w:hint="eastAsia" w:ascii="宋体" w:hAnsi="宋体" w:cs="宋体"/>
          <w:kern w:val="0"/>
          <w:sz w:val="24"/>
          <w:szCs w:val="24"/>
          <w:highlight w:val="none"/>
          <w:u w:val="single"/>
          <w:lang w:val="en-US" w:eastAsia="zh-CN"/>
        </w:rPr>
        <w:t>出行路硬化项目</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蓝田县孟村镇段家村</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财政衔接资金</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pPr>
        <w:spacing w:line="520" w:lineRule="exact"/>
        <w:ind w:firstLine="482" w:firstLineChars="200"/>
        <w:outlineLvl w:val="1"/>
        <w:rPr>
          <w:rFonts w:hint="eastAsia" w:ascii="宋体" w:hAnsi="宋体" w:cs="宋体"/>
          <w:b/>
          <w:kern w:val="0"/>
          <w:sz w:val="24"/>
          <w:szCs w:val="24"/>
          <w:highlight w:val="none"/>
        </w:rPr>
      </w:pPr>
      <w:bookmarkStart w:id="11" w:name="_Toc32685"/>
      <w:bookmarkStart w:id="12" w:name="_Toc1351"/>
      <w:bookmarkStart w:id="13" w:name="_Toc28865"/>
      <w:r>
        <w:rPr>
          <w:rFonts w:hint="eastAsia" w:ascii="宋体" w:hAnsi="宋体" w:cs="宋体"/>
          <w:b/>
          <w:kern w:val="0"/>
          <w:sz w:val="24"/>
          <w:szCs w:val="24"/>
          <w:highlight w:val="none"/>
        </w:rPr>
        <w:t>二、工程承包范围</w:t>
      </w:r>
      <w:bookmarkEnd w:id="11"/>
      <w:bookmarkEnd w:id="12"/>
      <w:bookmarkEnd w:id="13"/>
    </w:p>
    <w:p>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rPr>
        <w:t>见</w:t>
      </w:r>
      <w:r>
        <w:rPr>
          <w:rFonts w:hint="eastAsia" w:ascii="宋体" w:hAnsi="宋体"/>
          <w:kern w:val="0"/>
          <w:sz w:val="24"/>
          <w:szCs w:val="24"/>
          <w:highlight w:val="none"/>
          <w:u w:val="single"/>
        </w:rPr>
        <w:t>工程量清单，具体以</w:t>
      </w:r>
      <w:bookmarkStart w:id="122" w:name="_GoBack"/>
      <w:bookmarkEnd w:id="122"/>
      <w:r>
        <w:rPr>
          <w:rFonts w:hint="eastAsia" w:ascii="宋体" w:hAnsi="宋体"/>
          <w:kern w:val="0"/>
          <w:sz w:val="24"/>
          <w:szCs w:val="24"/>
          <w:highlight w:val="none"/>
          <w:u w:val="single"/>
        </w:rPr>
        <w:t>施工图纸范围内的全部工程量为准。</w:t>
      </w:r>
    </w:p>
    <w:p>
      <w:pPr>
        <w:spacing w:line="520" w:lineRule="exact"/>
        <w:ind w:firstLine="482" w:firstLineChars="200"/>
        <w:outlineLvl w:val="1"/>
        <w:rPr>
          <w:rFonts w:hint="eastAsia" w:ascii="宋体" w:hAnsi="宋体" w:cs="宋体"/>
          <w:b/>
          <w:kern w:val="0"/>
          <w:sz w:val="24"/>
          <w:szCs w:val="24"/>
          <w:highlight w:val="none"/>
        </w:rPr>
      </w:pPr>
      <w:bookmarkStart w:id="14" w:name="_Toc9689"/>
      <w:bookmarkStart w:id="15" w:name="_Toc19094"/>
      <w:bookmarkStart w:id="16" w:name="_Toc32655"/>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4"/>
      <w:bookmarkEnd w:id="15"/>
      <w:bookmarkEnd w:id="16"/>
    </w:p>
    <w:p>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40</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pPr>
        <w:spacing w:line="520" w:lineRule="exact"/>
        <w:ind w:firstLine="482" w:firstLineChars="200"/>
        <w:outlineLvl w:val="1"/>
        <w:rPr>
          <w:rFonts w:hint="eastAsia" w:ascii="宋体" w:hAnsi="宋体" w:cs="宋体"/>
          <w:b/>
          <w:kern w:val="0"/>
          <w:sz w:val="24"/>
          <w:szCs w:val="24"/>
          <w:highlight w:val="none"/>
        </w:rPr>
      </w:pPr>
      <w:bookmarkStart w:id="17" w:name="_Toc1032"/>
      <w:bookmarkStart w:id="18" w:name="_Toc6066"/>
      <w:bookmarkStart w:id="19" w:name="_Toc19869"/>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7"/>
      <w:bookmarkEnd w:id="18"/>
      <w:bookmarkEnd w:id="19"/>
    </w:p>
    <w:p>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lang w:val="en-US" w:eastAsia="zh-CN"/>
        </w:rPr>
        <w:t>达到</w:t>
      </w:r>
      <w:r>
        <w:rPr>
          <w:rFonts w:hint="eastAsia" w:ascii="宋体" w:hAnsi="宋体"/>
          <w:sz w:val="24"/>
          <w:szCs w:val="24"/>
          <w:highlight w:val="none"/>
          <w:u w:val="single"/>
        </w:rPr>
        <w:t>国家现行验收规范“合格”标准</w:t>
      </w:r>
    </w:p>
    <w:p>
      <w:pPr>
        <w:spacing w:line="520" w:lineRule="exact"/>
        <w:ind w:firstLine="482" w:firstLineChars="200"/>
        <w:outlineLvl w:val="1"/>
        <w:rPr>
          <w:rFonts w:hint="eastAsia" w:ascii="宋体" w:hAnsi="宋体" w:cs="宋体"/>
          <w:b/>
          <w:kern w:val="0"/>
          <w:sz w:val="24"/>
          <w:szCs w:val="24"/>
          <w:highlight w:val="none"/>
        </w:rPr>
      </w:pPr>
      <w:bookmarkStart w:id="20" w:name="_Toc5804"/>
      <w:bookmarkStart w:id="21" w:name="_Toc27044"/>
      <w:bookmarkStart w:id="22" w:name="_Toc1198"/>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20"/>
      <w:bookmarkEnd w:id="21"/>
      <w:bookmarkEnd w:id="22"/>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pPr>
        <w:spacing w:line="520" w:lineRule="exact"/>
        <w:ind w:firstLine="482" w:firstLineChars="200"/>
        <w:outlineLvl w:val="1"/>
        <w:rPr>
          <w:rFonts w:hint="eastAsia" w:ascii="宋体" w:hAnsi="宋体"/>
          <w:b/>
          <w:sz w:val="24"/>
          <w:szCs w:val="24"/>
          <w:highlight w:val="none"/>
        </w:rPr>
      </w:pPr>
      <w:bookmarkStart w:id="23" w:name="_Toc25125"/>
      <w:bookmarkStart w:id="24" w:name="_Toc32402"/>
      <w:bookmarkStart w:id="25" w:name="_Toc14660"/>
      <w:r>
        <w:rPr>
          <w:rFonts w:hint="eastAsia" w:ascii="宋体" w:hAnsi="宋体"/>
          <w:b/>
          <w:sz w:val="24"/>
          <w:szCs w:val="24"/>
          <w:highlight w:val="none"/>
        </w:rPr>
        <w:t>六、组成合同的文件</w:t>
      </w:r>
      <w:bookmarkEnd w:id="23"/>
      <w:bookmarkEnd w:id="24"/>
      <w:bookmarkEnd w:id="25"/>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pPr>
        <w:spacing w:line="520" w:lineRule="exact"/>
        <w:ind w:firstLine="480" w:firstLineChars="200"/>
        <w:outlineLvl w:val="1"/>
        <w:rPr>
          <w:rFonts w:hint="eastAsia" w:ascii="宋体" w:hAnsi="宋体"/>
          <w:sz w:val="24"/>
          <w:szCs w:val="24"/>
          <w:highlight w:val="none"/>
        </w:rPr>
      </w:pPr>
      <w:bookmarkStart w:id="26" w:name="_Toc20964"/>
      <w:bookmarkStart w:id="27" w:name="_Toc29961"/>
      <w:bookmarkStart w:id="28" w:name="_Toc7954"/>
      <w:r>
        <w:rPr>
          <w:rFonts w:hint="eastAsia" w:ascii="宋体" w:hAnsi="宋体"/>
          <w:sz w:val="24"/>
          <w:szCs w:val="24"/>
          <w:highlight w:val="none"/>
        </w:rPr>
        <w:t>十、合同生效</w:t>
      </w:r>
      <w:bookmarkEnd w:id="26"/>
      <w:bookmarkEnd w:id="27"/>
      <w:bookmarkEnd w:id="28"/>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pPr>
        <w:pStyle w:val="6"/>
        <w:rPr>
          <w:rFonts w:hint="eastAsia"/>
          <w:highlight w:val="none"/>
        </w:rPr>
      </w:pP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pPr>
        <w:pStyle w:val="2"/>
        <w:rPr>
          <w:rFonts w:hint="eastAsia" w:ascii="宋体" w:hAnsi="宋体"/>
          <w:sz w:val="24"/>
          <w:szCs w:val="24"/>
        </w:rPr>
      </w:pPr>
      <w:r>
        <w:rPr>
          <w:rFonts w:hint="eastAsia" w:ascii="宋体" w:hAnsi="宋体"/>
          <w:sz w:val="24"/>
          <w:szCs w:val="24"/>
          <w:highlight w:val="none"/>
        </w:rPr>
        <w:t>账号：                                  账号：</w:t>
      </w:r>
    </w:p>
    <w:p>
      <w:pPr>
        <w:pStyle w:val="6"/>
        <w:rPr>
          <w:rFonts w:hint="eastAsia" w:ascii="宋体" w:hAnsi="宋体"/>
          <w:b/>
          <w:sz w:val="32"/>
          <w:szCs w:val="32"/>
        </w:rPr>
      </w:pPr>
    </w:p>
    <w:p>
      <w:pPr>
        <w:pStyle w:val="6"/>
        <w:rPr>
          <w:rFonts w:hint="eastAsia" w:ascii="宋体" w:hAnsi="宋体"/>
          <w:b/>
          <w:sz w:val="32"/>
          <w:szCs w:val="32"/>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9" w:name="_Toc12590"/>
      <w:bookmarkStart w:id="30" w:name="_Toc4204"/>
      <w:bookmarkStart w:id="31" w:name="_Toc5889"/>
      <w:r>
        <w:rPr>
          <w:rFonts w:hint="eastAsia" w:ascii="宋体" w:hAnsi="宋体"/>
          <w:b/>
          <w:sz w:val="32"/>
          <w:szCs w:val="32"/>
        </w:rPr>
        <w:t>第二部分  通用条款</w:t>
      </w:r>
      <w:bookmarkEnd w:id="29"/>
      <w:bookmarkEnd w:id="30"/>
      <w:bookmarkEnd w:id="31"/>
    </w:p>
    <w:p>
      <w:pPr>
        <w:pStyle w:val="2"/>
        <w:ind w:left="0" w:leftChars="0" w:firstLine="0" w:firstLineChars="0"/>
        <w:jc w:val="center"/>
        <w:outlineLvl w:val="1"/>
        <w:rPr>
          <w:rFonts w:hint="eastAsia" w:ascii="宋体" w:hAnsi="宋体"/>
          <w:b/>
          <w:color w:val="000000"/>
          <w:sz w:val="30"/>
          <w:szCs w:val="30"/>
          <w:highlight w:val="none"/>
        </w:rPr>
      </w:pPr>
      <w:bookmarkStart w:id="32" w:name="_Toc10786"/>
      <w:bookmarkStart w:id="33" w:name="_Toc31316"/>
      <w:bookmarkStart w:id="34"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2"/>
      <w:bookmarkEnd w:id="33"/>
      <w:bookmarkEnd w:id="34"/>
    </w:p>
    <w:p>
      <w:pPr>
        <w:ind w:firstLine="3000" w:firstLineChars="996"/>
        <w:rPr>
          <w:rFonts w:hint="eastAsia" w:ascii="宋体" w:hAnsi="宋体"/>
          <w:b/>
          <w:color w:val="000000"/>
          <w:sz w:val="30"/>
          <w:szCs w:val="30"/>
          <w:highlight w:val="none"/>
        </w:rPr>
      </w:pPr>
    </w:p>
    <w:p>
      <w:pPr>
        <w:ind w:firstLine="3000" w:firstLineChars="996"/>
        <w:outlineLvl w:val="0"/>
        <w:rPr>
          <w:rFonts w:hint="eastAsia" w:ascii="宋体" w:hAnsi="宋体"/>
          <w:b/>
          <w:color w:val="000000"/>
          <w:sz w:val="30"/>
          <w:szCs w:val="30"/>
          <w:highlight w:val="none"/>
        </w:rPr>
      </w:pPr>
      <w:bookmarkStart w:id="35" w:name="_Toc23300"/>
      <w:bookmarkStart w:id="36" w:name="_Toc25832"/>
      <w:bookmarkStart w:id="37" w:name="_Toc20886"/>
      <w:r>
        <w:rPr>
          <w:rFonts w:hint="eastAsia" w:ascii="宋体" w:hAnsi="宋体"/>
          <w:b/>
          <w:color w:val="000000"/>
          <w:sz w:val="30"/>
          <w:szCs w:val="30"/>
          <w:highlight w:val="none"/>
        </w:rPr>
        <w:t>第三部分   专用条款</w:t>
      </w:r>
      <w:bookmarkEnd w:id="35"/>
      <w:bookmarkEnd w:id="36"/>
      <w:bookmarkEnd w:id="37"/>
    </w:p>
    <w:p>
      <w:pPr>
        <w:spacing w:line="400" w:lineRule="exact"/>
        <w:ind w:firstLine="480" w:firstLineChars="200"/>
        <w:outlineLvl w:val="1"/>
        <w:rPr>
          <w:rFonts w:hint="eastAsia" w:ascii="宋体" w:hAnsi="宋体"/>
          <w:color w:val="000000"/>
          <w:sz w:val="24"/>
          <w:szCs w:val="24"/>
          <w:highlight w:val="none"/>
        </w:rPr>
      </w:pPr>
      <w:bookmarkStart w:id="38" w:name="_Toc29029"/>
      <w:bookmarkStart w:id="39" w:name="_Toc5245"/>
      <w:bookmarkStart w:id="40" w:name="_Toc24944"/>
      <w:r>
        <w:rPr>
          <w:rFonts w:hint="eastAsia" w:ascii="宋体" w:hAnsi="宋体"/>
          <w:color w:val="000000"/>
          <w:sz w:val="24"/>
          <w:szCs w:val="24"/>
          <w:highlight w:val="none"/>
        </w:rPr>
        <w:t>一、词语定义及合同文件</w:t>
      </w:r>
      <w:bookmarkEnd w:id="38"/>
      <w:bookmarkEnd w:id="39"/>
      <w:bookmarkEnd w:id="40"/>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pPr>
        <w:spacing w:line="400" w:lineRule="exact"/>
        <w:ind w:firstLine="480" w:firstLineChars="200"/>
        <w:outlineLvl w:val="1"/>
        <w:rPr>
          <w:rFonts w:hint="eastAsia" w:ascii="宋体" w:hAnsi="宋体"/>
          <w:color w:val="000000"/>
          <w:sz w:val="24"/>
          <w:szCs w:val="24"/>
          <w:highlight w:val="none"/>
        </w:rPr>
      </w:pPr>
      <w:bookmarkStart w:id="41" w:name="_Toc8934"/>
      <w:bookmarkStart w:id="42" w:name="_Toc10281"/>
      <w:bookmarkStart w:id="43" w:name="_Toc22431"/>
      <w:r>
        <w:rPr>
          <w:rFonts w:hint="eastAsia" w:ascii="宋体" w:hAnsi="宋体"/>
          <w:color w:val="000000"/>
          <w:sz w:val="24"/>
          <w:szCs w:val="24"/>
          <w:highlight w:val="none"/>
        </w:rPr>
        <w:t>二、双方一般权利和义务</w:t>
      </w:r>
      <w:bookmarkEnd w:id="41"/>
      <w:bookmarkEnd w:id="42"/>
      <w:bookmarkEnd w:id="43"/>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pPr>
        <w:spacing w:line="400" w:lineRule="exact"/>
        <w:ind w:firstLine="480" w:firstLineChars="200"/>
        <w:outlineLvl w:val="1"/>
        <w:rPr>
          <w:rFonts w:hint="eastAsia" w:ascii="宋体" w:hAnsi="宋体"/>
          <w:color w:val="000000"/>
          <w:sz w:val="24"/>
          <w:szCs w:val="24"/>
          <w:highlight w:val="none"/>
        </w:rPr>
      </w:pPr>
      <w:bookmarkStart w:id="44" w:name="_Toc10650"/>
      <w:bookmarkStart w:id="45" w:name="_Toc27769"/>
      <w:bookmarkStart w:id="46" w:name="_Toc26225"/>
      <w:r>
        <w:rPr>
          <w:rFonts w:hint="eastAsia" w:ascii="宋体" w:hAnsi="宋体"/>
          <w:color w:val="000000"/>
          <w:sz w:val="24"/>
          <w:szCs w:val="24"/>
          <w:highlight w:val="none"/>
        </w:rPr>
        <w:t>三、施工组织设计和工期</w:t>
      </w:r>
      <w:bookmarkEnd w:id="44"/>
      <w:bookmarkEnd w:id="45"/>
      <w:bookmarkEnd w:id="46"/>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pPr>
        <w:spacing w:line="400" w:lineRule="exact"/>
        <w:ind w:firstLine="480" w:firstLineChars="200"/>
        <w:outlineLvl w:val="1"/>
        <w:rPr>
          <w:rFonts w:hint="eastAsia" w:ascii="宋体" w:hAnsi="宋体"/>
          <w:color w:val="000000"/>
          <w:sz w:val="24"/>
          <w:szCs w:val="24"/>
          <w:highlight w:val="none"/>
        </w:rPr>
      </w:pPr>
      <w:bookmarkStart w:id="47" w:name="_Toc9251"/>
      <w:bookmarkStart w:id="48" w:name="_Toc6244"/>
      <w:bookmarkStart w:id="49" w:name="_Toc1994"/>
      <w:r>
        <w:rPr>
          <w:rFonts w:hint="eastAsia" w:ascii="宋体" w:hAnsi="宋体"/>
          <w:color w:val="000000"/>
          <w:sz w:val="24"/>
          <w:szCs w:val="24"/>
          <w:highlight w:val="none"/>
        </w:rPr>
        <w:t>四、质量与验收</w:t>
      </w:r>
      <w:bookmarkEnd w:id="47"/>
      <w:bookmarkEnd w:id="48"/>
      <w:bookmarkEnd w:id="49"/>
    </w:p>
    <w:p>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pPr>
        <w:spacing w:line="400" w:lineRule="exact"/>
        <w:ind w:firstLine="480" w:firstLineChars="200"/>
        <w:outlineLvl w:val="1"/>
        <w:rPr>
          <w:rFonts w:hint="eastAsia" w:ascii="宋体" w:hAnsi="宋体"/>
          <w:color w:val="000000"/>
          <w:sz w:val="24"/>
          <w:szCs w:val="24"/>
          <w:highlight w:val="none"/>
        </w:rPr>
      </w:pPr>
      <w:bookmarkStart w:id="50" w:name="_Toc14664"/>
      <w:bookmarkStart w:id="51" w:name="_Toc5246"/>
      <w:bookmarkStart w:id="52" w:name="_Toc29703"/>
      <w:r>
        <w:rPr>
          <w:rFonts w:hint="eastAsia" w:ascii="宋体" w:hAnsi="宋体"/>
          <w:color w:val="000000"/>
          <w:sz w:val="24"/>
          <w:szCs w:val="24"/>
          <w:highlight w:val="none"/>
        </w:rPr>
        <w:t>五、安全防护、文明施工</w:t>
      </w:r>
      <w:bookmarkEnd w:id="50"/>
      <w:bookmarkEnd w:id="51"/>
      <w:bookmarkEnd w:id="52"/>
    </w:p>
    <w:p>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pPr>
        <w:spacing w:line="400" w:lineRule="exact"/>
        <w:ind w:firstLine="480" w:firstLineChars="200"/>
        <w:outlineLvl w:val="1"/>
        <w:rPr>
          <w:rFonts w:hint="eastAsia" w:ascii="宋体" w:hAnsi="宋体"/>
          <w:color w:val="000000"/>
          <w:sz w:val="24"/>
          <w:szCs w:val="24"/>
          <w:highlight w:val="none"/>
        </w:rPr>
      </w:pPr>
      <w:bookmarkStart w:id="53" w:name="_Toc27910"/>
      <w:bookmarkStart w:id="54" w:name="_Toc19865"/>
      <w:bookmarkStart w:id="55" w:name="_Toc20896"/>
      <w:r>
        <w:rPr>
          <w:rFonts w:hint="eastAsia" w:ascii="宋体" w:hAnsi="宋体"/>
          <w:color w:val="000000"/>
          <w:sz w:val="24"/>
          <w:szCs w:val="24"/>
          <w:highlight w:val="none"/>
        </w:rPr>
        <w:t>六、合同价款与支付</w:t>
      </w:r>
      <w:bookmarkEnd w:id="53"/>
      <w:bookmarkEnd w:id="54"/>
      <w:bookmarkEnd w:id="55"/>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w:t>
      </w:r>
      <w:r>
        <w:rPr>
          <w:rFonts w:hint="eastAsia" w:ascii="宋体" w:hAnsi="宋体"/>
          <w:color w:val="000000"/>
          <w:sz w:val="24"/>
          <w:szCs w:val="24"/>
          <w:highlight w:val="none"/>
          <w:u w:val="single"/>
          <w:lang w:val="en-US" w:eastAsia="zh-CN"/>
        </w:rPr>
        <w:t>签订合同后支</w:t>
      </w:r>
      <w:r>
        <w:rPr>
          <w:rFonts w:hint="eastAsia" w:ascii="宋体" w:hAnsi="宋体"/>
          <w:kern w:val="0"/>
          <w:sz w:val="24"/>
          <w:szCs w:val="24"/>
          <w:highlight w:val="none"/>
          <w:u w:val="single"/>
        </w:rPr>
        <w:t>付合同价</w:t>
      </w:r>
      <w:r>
        <w:rPr>
          <w:rFonts w:hint="eastAsia" w:ascii="宋体" w:hAnsi="宋体"/>
          <w:kern w:val="0"/>
          <w:sz w:val="24"/>
          <w:szCs w:val="24"/>
          <w:highlight w:val="none"/>
          <w:u w:val="single"/>
          <w:lang w:val="en-US" w:eastAsia="zh-CN"/>
        </w:rPr>
        <w:t>4</w:t>
      </w:r>
      <w:r>
        <w:rPr>
          <w:rFonts w:hint="eastAsia" w:ascii="宋体" w:hAnsi="宋体"/>
          <w:kern w:val="0"/>
          <w:sz w:val="24"/>
          <w:szCs w:val="24"/>
          <w:highlight w:val="none"/>
          <w:u w:val="single"/>
        </w:rPr>
        <w:t>0%；工程验收</w:t>
      </w:r>
      <w:r>
        <w:rPr>
          <w:rFonts w:hint="eastAsia" w:ascii="宋体" w:hAnsi="宋体"/>
          <w:kern w:val="0"/>
          <w:sz w:val="24"/>
          <w:szCs w:val="24"/>
          <w:highlight w:val="none"/>
          <w:u w:val="single"/>
          <w:lang w:val="en-US" w:eastAsia="zh-CN"/>
        </w:rPr>
        <w:t>合格</w:t>
      </w:r>
      <w:r>
        <w:rPr>
          <w:rFonts w:hint="eastAsia" w:ascii="宋体" w:hAnsi="宋体"/>
          <w:kern w:val="0"/>
          <w:sz w:val="24"/>
          <w:szCs w:val="24"/>
          <w:highlight w:val="none"/>
          <w:u w:val="single"/>
        </w:rPr>
        <w:t>后，按</w:t>
      </w:r>
      <w:r>
        <w:rPr>
          <w:rFonts w:hint="eastAsia" w:ascii="宋体" w:hAnsi="宋体"/>
          <w:kern w:val="0"/>
          <w:sz w:val="24"/>
          <w:szCs w:val="24"/>
          <w:highlight w:val="none"/>
          <w:u w:val="single"/>
          <w:lang w:val="en-US" w:eastAsia="zh-CN"/>
        </w:rPr>
        <w:t>合同</w:t>
      </w:r>
      <w:r>
        <w:rPr>
          <w:rFonts w:hint="eastAsia" w:ascii="宋体" w:hAnsi="宋体"/>
          <w:kern w:val="0"/>
          <w:sz w:val="24"/>
          <w:szCs w:val="24"/>
          <w:highlight w:val="none"/>
          <w:u w:val="single"/>
        </w:rPr>
        <w:t>价款付至85%，工程竣工审计决算后，按审计价款付至9</w:t>
      </w:r>
      <w:r>
        <w:rPr>
          <w:rFonts w:ascii="宋体" w:hAnsi="宋体"/>
          <w:kern w:val="0"/>
          <w:sz w:val="24"/>
          <w:szCs w:val="24"/>
          <w:highlight w:val="none"/>
          <w:u w:val="single"/>
        </w:rPr>
        <w:t>7</w:t>
      </w:r>
      <w:r>
        <w:rPr>
          <w:rFonts w:hint="eastAsia" w:ascii="宋体" w:hAnsi="宋体"/>
          <w:kern w:val="0"/>
          <w:sz w:val="24"/>
          <w:szCs w:val="24"/>
          <w:highlight w:val="none"/>
          <w:u w:val="single"/>
        </w:rPr>
        <w:t>%；留</w:t>
      </w:r>
      <w:r>
        <w:rPr>
          <w:rFonts w:ascii="宋体" w:hAnsi="宋体"/>
          <w:kern w:val="0"/>
          <w:sz w:val="24"/>
          <w:szCs w:val="24"/>
          <w:highlight w:val="none"/>
          <w:u w:val="single"/>
        </w:rPr>
        <w:t>3</w:t>
      </w:r>
      <w:r>
        <w:rPr>
          <w:rFonts w:hint="eastAsia" w:ascii="宋体" w:hAnsi="宋体"/>
          <w:kern w:val="0"/>
          <w:sz w:val="24"/>
          <w:szCs w:val="24"/>
          <w:highlight w:val="none"/>
          <w:u w:val="single"/>
        </w:rPr>
        <w:t>%作为质保金，待质量保修期满</w:t>
      </w:r>
      <w:r>
        <w:rPr>
          <w:rFonts w:ascii="宋体" w:hAnsi="宋体"/>
          <w:kern w:val="0"/>
          <w:sz w:val="24"/>
          <w:szCs w:val="24"/>
          <w:highlight w:val="none"/>
          <w:u w:val="single"/>
        </w:rPr>
        <w:t>1</w:t>
      </w:r>
      <w:r>
        <w:rPr>
          <w:rFonts w:hint="eastAsia" w:ascii="宋体" w:hAnsi="宋体"/>
          <w:kern w:val="0"/>
          <w:sz w:val="24"/>
          <w:szCs w:val="24"/>
          <w:highlight w:val="none"/>
          <w:u w:val="single"/>
        </w:rPr>
        <w:t>年后一次性无息</w:t>
      </w:r>
      <w:r>
        <w:rPr>
          <w:rFonts w:hint="eastAsia" w:ascii="宋体" w:hAnsi="宋体"/>
          <w:sz w:val="24"/>
          <w:szCs w:val="24"/>
          <w:highlight w:val="none"/>
          <w:u w:val="single"/>
        </w:rPr>
        <w:t>返还</w:t>
      </w:r>
      <w:r>
        <w:rPr>
          <w:rFonts w:hint="eastAsia" w:ascii="宋体" w:hAnsi="宋体"/>
          <w:sz w:val="24"/>
          <w:szCs w:val="24"/>
          <w:highlight w:val="none"/>
        </w:rPr>
        <w:t>。</w:t>
      </w:r>
    </w:p>
    <w:p>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pPr>
        <w:spacing w:line="400" w:lineRule="exact"/>
        <w:ind w:firstLine="480" w:firstLineChars="200"/>
        <w:outlineLvl w:val="1"/>
        <w:rPr>
          <w:rFonts w:hint="eastAsia" w:ascii="宋体" w:hAnsi="宋体"/>
          <w:color w:val="000000"/>
          <w:sz w:val="24"/>
          <w:szCs w:val="24"/>
          <w:highlight w:val="none"/>
        </w:rPr>
      </w:pPr>
      <w:bookmarkStart w:id="56" w:name="_Toc13307"/>
      <w:bookmarkStart w:id="57" w:name="_Toc12371"/>
      <w:bookmarkStart w:id="58" w:name="_Toc31544"/>
      <w:r>
        <w:rPr>
          <w:rFonts w:hint="eastAsia" w:ascii="宋体" w:hAnsi="宋体"/>
          <w:color w:val="000000"/>
          <w:sz w:val="24"/>
          <w:szCs w:val="24"/>
          <w:highlight w:val="none"/>
        </w:rPr>
        <w:t>七、材料设备供应</w:t>
      </w:r>
      <w:bookmarkEnd w:id="56"/>
      <w:bookmarkEnd w:id="57"/>
      <w:bookmarkEnd w:id="58"/>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pPr>
        <w:spacing w:line="400" w:lineRule="exact"/>
        <w:ind w:firstLine="480" w:firstLineChars="200"/>
        <w:outlineLvl w:val="1"/>
        <w:rPr>
          <w:rFonts w:hint="eastAsia" w:ascii="宋体" w:hAnsi="宋体"/>
          <w:color w:val="000000"/>
          <w:sz w:val="24"/>
          <w:szCs w:val="24"/>
          <w:highlight w:val="none"/>
        </w:rPr>
      </w:pPr>
      <w:bookmarkStart w:id="59" w:name="_Toc30907"/>
      <w:bookmarkStart w:id="60" w:name="_Toc6900"/>
      <w:bookmarkStart w:id="61" w:name="_Toc2109"/>
      <w:r>
        <w:rPr>
          <w:rFonts w:hint="eastAsia" w:ascii="宋体" w:hAnsi="宋体"/>
          <w:color w:val="000000"/>
          <w:sz w:val="24"/>
          <w:szCs w:val="24"/>
          <w:highlight w:val="none"/>
        </w:rPr>
        <w:t>八、工程变更</w:t>
      </w:r>
      <w:bookmarkEnd w:id="59"/>
      <w:bookmarkEnd w:id="60"/>
      <w:bookmarkEnd w:id="61"/>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pPr>
        <w:spacing w:line="400" w:lineRule="exact"/>
        <w:ind w:firstLine="480" w:firstLineChars="200"/>
        <w:outlineLvl w:val="1"/>
        <w:rPr>
          <w:rFonts w:hint="eastAsia" w:ascii="宋体" w:hAnsi="宋体"/>
          <w:color w:val="000000"/>
          <w:sz w:val="24"/>
          <w:szCs w:val="24"/>
          <w:highlight w:val="none"/>
        </w:rPr>
      </w:pPr>
      <w:bookmarkStart w:id="62" w:name="_Toc11216"/>
      <w:bookmarkStart w:id="63" w:name="_Toc24840"/>
      <w:bookmarkStart w:id="64" w:name="_Toc3327"/>
      <w:r>
        <w:rPr>
          <w:rFonts w:hint="eastAsia" w:ascii="宋体" w:hAnsi="宋体"/>
          <w:color w:val="000000"/>
          <w:sz w:val="24"/>
          <w:szCs w:val="24"/>
          <w:highlight w:val="none"/>
        </w:rPr>
        <w:t>九、竣工验收与结算</w:t>
      </w:r>
      <w:bookmarkEnd w:id="62"/>
      <w:bookmarkEnd w:id="63"/>
      <w:bookmarkEnd w:id="64"/>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pPr>
        <w:spacing w:line="400" w:lineRule="exact"/>
        <w:ind w:firstLine="480" w:firstLineChars="200"/>
        <w:outlineLvl w:val="1"/>
        <w:rPr>
          <w:rFonts w:hint="eastAsia" w:ascii="宋体" w:hAnsi="宋体"/>
          <w:color w:val="000000"/>
          <w:sz w:val="24"/>
          <w:szCs w:val="24"/>
          <w:highlight w:val="none"/>
        </w:rPr>
      </w:pPr>
      <w:bookmarkStart w:id="65" w:name="_Toc30392"/>
      <w:bookmarkStart w:id="66" w:name="_Toc11123"/>
      <w:bookmarkStart w:id="67" w:name="_Toc8995"/>
      <w:r>
        <w:rPr>
          <w:rFonts w:hint="eastAsia" w:ascii="宋体" w:hAnsi="宋体"/>
          <w:color w:val="000000"/>
          <w:sz w:val="24"/>
          <w:szCs w:val="24"/>
          <w:highlight w:val="none"/>
        </w:rPr>
        <w:t>十、违约、索赔和争议</w:t>
      </w:r>
      <w:bookmarkEnd w:id="65"/>
      <w:bookmarkEnd w:id="66"/>
      <w:bookmarkEnd w:id="67"/>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pPr>
        <w:spacing w:line="400" w:lineRule="exact"/>
        <w:ind w:firstLine="480" w:firstLineChars="200"/>
        <w:outlineLvl w:val="1"/>
        <w:rPr>
          <w:rFonts w:hint="eastAsia" w:ascii="宋体" w:hAnsi="宋体"/>
          <w:color w:val="000000"/>
          <w:sz w:val="24"/>
          <w:szCs w:val="24"/>
          <w:highlight w:val="none"/>
        </w:rPr>
      </w:pPr>
      <w:bookmarkStart w:id="68" w:name="_Toc7984"/>
      <w:bookmarkStart w:id="69" w:name="_Toc26779"/>
      <w:bookmarkStart w:id="70" w:name="_Toc20432"/>
      <w:r>
        <w:rPr>
          <w:rFonts w:hint="eastAsia" w:ascii="宋体" w:hAnsi="宋体"/>
          <w:color w:val="000000"/>
          <w:sz w:val="24"/>
          <w:szCs w:val="24"/>
          <w:highlight w:val="none"/>
        </w:rPr>
        <w:t>十一、其他</w:t>
      </w:r>
      <w:bookmarkEnd w:id="68"/>
      <w:bookmarkEnd w:id="69"/>
      <w:bookmarkEnd w:id="70"/>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pPr>
        <w:rPr>
          <w:rFonts w:hint="eastAsia" w:ascii="宋体" w:hAnsi="宋体"/>
          <w:color w:val="000000"/>
          <w:sz w:val="24"/>
          <w:szCs w:val="24"/>
          <w:highlight w:val="none"/>
        </w:rPr>
      </w:pPr>
    </w:p>
    <w:p>
      <w:pPr>
        <w:rPr>
          <w:rFonts w:hint="eastAsia" w:ascii="宋体" w:hAnsi="宋体"/>
          <w:color w:val="000000"/>
          <w:sz w:val="24"/>
          <w:szCs w:val="24"/>
          <w:highlight w:val="none"/>
        </w:rPr>
      </w:pPr>
    </w:p>
    <w:p>
      <w:pPr>
        <w:rPr>
          <w:rFonts w:hint="eastAsia" w:ascii="宋体" w:hAnsi="宋体"/>
          <w:color w:val="000000"/>
          <w:sz w:val="24"/>
          <w:szCs w:val="24"/>
          <w:highlight w:val="none"/>
        </w:rPr>
      </w:pPr>
    </w:p>
    <w:p>
      <w:pPr>
        <w:rPr>
          <w:rFonts w:hint="eastAsia" w:ascii="宋体" w:hAnsi="宋体"/>
          <w:color w:val="000000"/>
          <w:sz w:val="24"/>
          <w:szCs w:val="24"/>
          <w:highlight w:val="none"/>
        </w:rPr>
      </w:pPr>
    </w:p>
    <w:p>
      <w:pPr>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pStyle w:val="15"/>
        <w:rPr>
          <w:rFonts w:hint="eastAsia" w:ascii="宋体" w:hAnsi="宋体"/>
          <w:color w:val="000000"/>
          <w:sz w:val="24"/>
          <w:szCs w:val="24"/>
          <w:highlight w:val="none"/>
        </w:rPr>
      </w:pPr>
    </w:p>
    <w:p>
      <w:pPr>
        <w:ind w:left="0" w:leftChars="0" w:firstLine="0" w:firstLineChars="0"/>
        <w:rPr>
          <w:rFonts w:hint="eastAsia" w:ascii="宋体" w:hAnsi="宋体"/>
          <w:color w:val="000000"/>
          <w:sz w:val="24"/>
          <w:szCs w:val="24"/>
          <w:highlight w:val="none"/>
        </w:rPr>
      </w:pPr>
    </w:p>
    <w:p>
      <w:pPr>
        <w:ind w:left="0" w:leftChars="0" w:firstLine="0" w:firstLineChars="0"/>
        <w:rPr>
          <w:rFonts w:hint="eastAsia" w:ascii="宋体" w:hAnsi="宋体"/>
          <w:color w:val="000000"/>
          <w:sz w:val="24"/>
          <w:szCs w:val="24"/>
          <w:highlight w:val="none"/>
        </w:rPr>
      </w:pPr>
    </w:p>
    <w:p>
      <w:pPr>
        <w:ind w:left="0" w:leftChars="0" w:firstLine="0" w:firstLineChars="0"/>
        <w:rPr>
          <w:rFonts w:hint="eastAsia" w:ascii="宋体" w:hAnsi="宋体"/>
          <w:color w:val="000000"/>
          <w:sz w:val="24"/>
          <w:szCs w:val="24"/>
          <w:highlight w:val="none"/>
        </w:rPr>
      </w:pPr>
    </w:p>
    <w:p>
      <w:pPr>
        <w:ind w:left="0" w:leftChars="0" w:firstLine="0" w:firstLineChars="0"/>
        <w:outlineLvl w:val="1"/>
        <w:rPr>
          <w:rFonts w:hint="eastAsia" w:ascii="宋体" w:hAnsi="宋体" w:eastAsia="宋体" w:cs="Times New Roman"/>
          <w:color w:val="000000"/>
          <w:sz w:val="24"/>
          <w:szCs w:val="24"/>
          <w:highlight w:val="none"/>
        </w:rPr>
      </w:pPr>
      <w:bookmarkStart w:id="71" w:name="_Toc10578"/>
      <w:bookmarkStart w:id="72" w:name="_Toc17630"/>
      <w:bookmarkStart w:id="73" w:name="_Toc10111"/>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71"/>
      <w:bookmarkEnd w:id="72"/>
      <w:bookmarkEnd w:id="73"/>
    </w:p>
    <w:p>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pPr>
              <w:ind w:firstLine="480" w:firstLineChars="200"/>
              <w:rPr>
                <w:rFonts w:hint="eastAsia" w:ascii="宋体" w:hAnsi="宋体"/>
                <w:color w:val="000000"/>
                <w:sz w:val="24"/>
                <w:szCs w:val="24"/>
                <w:highlight w:val="none"/>
              </w:rPr>
            </w:pPr>
          </w:p>
        </w:tc>
        <w:tc>
          <w:tcPr>
            <w:tcW w:w="1332" w:type="dxa"/>
            <w:noWrap w:val="0"/>
            <w:vAlign w:val="top"/>
          </w:tcPr>
          <w:p>
            <w:pPr>
              <w:ind w:firstLine="480" w:firstLineChars="200"/>
              <w:rPr>
                <w:rFonts w:hint="eastAsia" w:ascii="宋体" w:hAnsi="宋体"/>
                <w:color w:val="000000"/>
                <w:sz w:val="24"/>
                <w:szCs w:val="24"/>
                <w:highlight w:val="none"/>
              </w:rPr>
            </w:pPr>
          </w:p>
        </w:tc>
        <w:tc>
          <w:tcPr>
            <w:tcW w:w="1440" w:type="dxa"/>
            <w:noWrap w:val="0"/>
            <w:vAlign w:val="top"/>
          </w:tcPr>
          <w:p>
            <w:pPr>
              <w:ind w:firstLine="480" w:firstLineChars="200"/>
              <w:rPr>
                <w:rFonts w:hint="eastAsia" w:ascii="宋体" w:hAnsi="宋体"/>
                <w:color w:val="000000"/>
                <w:sz w:val="24"/>
                <w:szCs w:val="24"/>
                <w:highlight w:val="none"/>
              </w:rPr>
            </w:pPr>
          </w:p>
        </w:tc>
        <w:tc>
          <w:tcPr>
            <w:tcW w:w="720" w:type="dxa"/>
            <w:noWrap w:val="0"/>
            <w:vAlign w:val="top"/>
          </w:tcPr>
          <w:p>
            <w:pPr>
              <w:ind w:firstLine="480" w:firstLineChars="200"/>
              <w:rPr>
                <w:rFonts w:hint="eastAsia" w:ascii="宋体" w:hAnsi="宋体"/>
                <w:color w:val="000000"/>
                <w:sz w:val="24"/>
                <w:szCs w:val="24"/>
                <w:highlight w:val="none"/>
              </w:rPr>
            </w:pPr>
          </w:p>
        </w:tc>
        <w:tc>
          <w:tcPr>
            <w:tcW w:w="1620" w:type="dxa"/>
            <w:noWrap w:val="0"/>
            <w:vAlign w:val="top"/>
          </w:tcPr>
          <w:p>
            <w:pPr>
              <w:ind w:firstLine="480" w:firstLineChars="200"/>
              <w:rPr>
                <w:rFonts w:hint="eastAsia" w:ascii="宋体" w:hAnsi="宋体"/>
                <w:color w:val="000000"/>
                <w:sz w:val="24"/>
                <w:szCs w:val="24"/>
                <w:highlight w:val="none"/>
              </w:rPr>
            </w:pPr>
          </w:p>
        </w:tc>
        <w:tc>
          <w:tcPr>
            <w:tcW w:w="1260" w:type="dxa"/>
            <w:noWrap w:val="0"/>
            <w:vAlign w:val="top"/>
          </w:tcPr>
          <w:p>
            <w:pPr>
              <w:ind w:firstLine="480" w:firstLineChars="200"/>
              <w:rPr>
                <w:rFonts w:hint="eastAsia" w:ascii="宋体" w:hAnsi="宋体"/>
                <w:color w:val="000000"/>
                <w:sz w:val="24"/>
                <w:szCs w:val="24"/>
                <w:highlight w:val="none"/>
              </w:rPr>
            </w:pPr>
          </w:p>
        </w:tc>
        <w:tc>
          <w:tcPr>
            <w:tcW w:w="1080" w:type="dxa"/>
            <w:noWrap w:val="0"/>
            <w:vAlign w:val="top"/>
          </w:tcPr>
          <w:p>
            <w:pPr>
              <w:ind w:firstLine="480" w:firstLineChars="200"/>
              <w:rPr>
                <w:rFonts w:hint="eastAsia" w:ascii="宋体" w:hAnsi="宋体"/>
                <w:color w:val="000000"/>
                <w:sz w:val="24"/>
                <w:szCs w:val="24"/>
                <w:highlight w:val="none"/>
              </w:rPr>
            </w:pPr>
          </w:p>
        </w:tc>
        <w:tc>
          <w:tcPr>
            <w:tcW w:w="823" w:type="dxa"/>
            <w:noWrap w:val="0"/>
            <w:vAlign w:val="top"/>
          </w:tcPr>
          <w:p>
            <w:pPr>
              <w:ind w:firstLine="480" w:firstLineChars="200"/>
              <w:rPr>
                <w:rFonts w:hint="eastAsia" w:ascii="宋体" w:hAnsi="宋体"/>
                <w:color w:val="000000"/>
                <w:sz w:val="24"/>
                <w:szCs w:val="24"/>
                <w:highlight w:val="none"/>
              </w:rPr>
            </w:pPr>
          </w:p>
        </w:tc>
      </w:tr>
    </w:tbl>
    <w:p>
      <w:pPr>
        <w:ind w:firstLine="480" w:firstLineChars="200"/>
        <w:rPr>
          <w:rFonts w:hint="eastAsia" w:ascii="宋体" w:hAnsi="宋体"/>
          <w:color w:val="000000"/>
          <w:sz w:val="24"/>
          <w:szCs w:val="24"/>
          <w:highlight w:val="none"/>
        </w:rPr>
      </w:pPr>
    </w:p>
    <w:p>
      <w:pPr>
        <w:ind w:firstLine="480" w:firstLineChars="200"/>
        <w:rPr>
          <w:rFonts w:hint="eastAsia" w:ascii="宋体" w:hAnsi="宋体"/>
          <w:color w:val="000000"/>
          <w:sz w:val="24"/>
          <w:szCs w:val="24"/>
          <w:highlight w:val="none"/>
        </w:rPr>
      </w:pPr>
    </w:p>
    <w:p>
      <w:pPr>
        <w:ind w:firstLine="480" w:firstLineChars="200"/>
        <w:rPr>
          <w:rFonts w:hint="eastAsia" w:ascii="宋体" w:hAnsi="宋体"/>
          <w:color w:val="000000"/>
          <w:sz w:val="24"/>
          <w:szCs w:val="24"/>
          <w:highlight w:val="none"/>
        </w:rPr>
      </w:pPr>
    </w:p>
    <w:p>
      <w:pPr>
        <w:ind w:firstLine="480" w:firstLineChars="200"/>
        <w:rPr>
          <w:rFonts w:hint="eastAsia" w:ascii="宋体" w:hAnsi="宋体"/>
          <w:color w:val="000000"/>
          <w:sz w:val="24"/>
          <w:szCs w:val="24"/>
          <w:highlight w:val="none"/>
        </w:rPr>
      </w:pPr>
    </w:p>
    <w:p>
      <w:pPr>
        <w:ind w:firstLine="480" w:firstLineChars="200"/>
        <w:rPr>
          <w:rFonts w:hint="eastAsia" w:ascii="宋体" w:hAnsi="宋体"/>
          <w:color w:val="000000"/>
          <w:sz w:val="24"/>
          <w:szCs w:val="24"/>
          <w:highlight w:val="none"/>
        </w:rPr>
      </w:pPr>
    </w:p>
    <w:p>
      <w:pPr>
        <w:pStyle w:val="6"/>
        <w:rPr>
          <w:rFonts w:hint="eastAsia" w:ascii="宋体" w:hAnsi="宋体"/>
          <w:color w:val="000000"/>
          <w:sz w:val="24"/>
          <w:szCs w:val="24"/>
          <w:highlight w:val="none"/>
        </w:rPr>
      </w:pPr>
    </w:p>
    <w:p>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pPr>
              <w:widowControl/>
              <w:jc w:val="center"/>
              <w:rPr>
                <w:rFonts w:hint="eastAsia" w:ascii="宋体" w:hAnsi="宋体"/>
                <w:color w:val="000000"/>
                <w:kern w:val="0"/>
                <w:sz w:val="24"/>
                <w:szCs w:val="24"/>
                <w:highlight w:val="none"/>
              </w:rPr>
            </w:pPr>
          </w:p>
        </w:tc>
        <w:tc>
          <w:tcPr>
            <w:tcW w:w="1454" w:type="dxa"/>
            <w:noWrap w:val="0"/>
            <w:vAlign w:val="center"/>
          </w:tcPr>
          <w:p>
            <w:pPr>
              <w:widowControl/>
              <w:jc w:val="center"/>
              <w:rPr>
                <w:rFonts w:hint="eastAsia" w:ascii="宋体" w:hAnsi="宋体"/>
                <w:color w:val="000000"/>
                <w:kern w:val="0"/>
                <w:sz w:val="24"/>
                <w:szCs w:val="24"/>
                <w:highlight w:val="none"/>
              </w:rPr>
            </w:pPr>
          </w:p>
        </w:tc>
        <w:tc>
          <w:tcPr>
            <w:tcW w:w="1364" w:type="dxa"/>
            <w:noWrap w:val="0"/>
            <w:vAlign w:val="center"/>
          </w:tcPr>
          <w:p>
            <w:pPr>
              <w:widowControl/>
              <w:jc w:val="center"/>
              <w:rPr>
                <w:rFonts w:hint="eastAsia" w:ascii="宋体" w:hAnsi="宋体"/>
                <w:color w:val="000000"/>
                <w:kern w:val="0"/>
                <w:sz w:val="24"/>
                <w:szCs w:val="24"/>
                <w:highlight w:val="none"/>
              </w:rPr>
            </w:pPr>
          </w:p>
        </w:tc>
        <w:tc>
          <w:tcPr>
            <w:tcW w:w="643" w:type="dxa"/>
            <w:noWrap w:val="0"/>
            <w:vAlign w:val="center"/>
          </w:tcPr>
          <w:p>
            <w:pPr>
              <w:widowControl/>
              <w:jc w:val="center"/>
              <w:rPr>
                <w:rFonts w:hint="eastAsia" w:ascii="宋体" w:hAnsi="宋体"/>
                <w:color w:val="000000"/>
                <w:kern w:val="0"/>
                <w:sz w:val="24"/>
                <w:szCs w:val="24"/>
                <w:highlight w:val="none"/>
              </w:rPr>
            </w:pPr>
          </w:p>
        </w:tc>
        <w:tc>
          <w:tcPr>
            <w:tcW w:w="951" w:type="dxa"/>
            <w:noWrap w:val="0"/>
            <w:vAlign w:val="center"/>
          </w:tcPr>
          <w:p>
            <w:pPr>
              <w:widowControl/>
              <w:jc w:val="center"/>
              <w:rPr>
                <w:rFonts w:hint="eastAsia" w:ascii="宋体" w:hAnsi="宋体"/>
                <w:color w:val="000000"/>
                <w:kern w:val="0"/>
                <w:sz w:val="24"/>
                <w:szCs w:val="24"/>
                <w:highlight w:val="none"/>
              </w:rPr>
            </w:pPr>
          </w:p>
        </w:tc>
        <w:tc>
          <w:tcPr>
            <w:tcW w:w="1056"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hint="eastAsia" w:ascii="宋体" w:hAnsi="宋体"/>
                <w:color w:val="000000"/>
                <w:kern w:val="0"/>
                <w:sz w:val="24"/>
                <w:szCs w:val="24"/>
                <w:highlight w:val="none"/>
              </w:rPr>
            </w:pPr>
          </w:p>
        </w:tc>
        <w:tc>
          <w:tcPr>
            <w:tcW w:w="663" w:type="dxa"/>
            <w:noWrap w:val="0"/>
            <w:vAlign w:val="center"/>
          </w:tcPr>
          <w:p>
            <w:pPr>
              <w:widowControl/>
              <w:jc w:val="center"/>
              <w:rPr>
                <w:rFonts w:ascii="宋体" w:hAnsi="宋体"/>
                <w:color w:val="000000"/>
                <w:kern w:val="0"/>
                <w:sz w:val="24"/>
                <w:szCs w:val="24"/>
                <w:highlight w:val="none"/>
              </w:rPr>
            </w:pPr>
          </w:p>
        </w:tc>
        <w:tc>
          <w:tcPr>
            <w:tcW w:w="868" w:type="dxa"/>
            <w:noWrap w:val="0"/>
            <w:vAlign w:val="center"/>
          </w:tcPr>
          <w:p>
            <w:pPr>
              <w:widowControl/>
              <w:jc w:val="center"/>
              <w:rPr>
                <w:rFonts w:hint="eastAsia" w:ascii="宋体" w:hAnsi="宋体"/>
                <w:color w:val="000000"/>
                <w:kern w:val="0"/>
                <w:sz w:val="24"/>
                <w:szCs w:val="24"/>
                <w:highlight w:val="none"/>
              </w:rPr>
            </w:pPr>
          </w:p>
        </w:tc>
        <w:tc>
          <w:tcPr>
            <w:tcW w:w="630" w:type="dxa"/>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4"/>
                <w:szCs w:val="24"/>
                <w:highlight w:val="none"/>
              </w:rPr>
            </w:pPr>
          </w:p>
        </w:tc>
      </w:tr>
    </w:tbl>
    <w:p>
      <w:pPr>
        <w:widowControl/>
        <w:spacing w:line="360" w:lineRule="auto"/>
        <w:ind w:firstLine="480" w:firstLineChars="200"/>
        <w:rPr>
          <w:rFonts w:hint="eastAsia" w:ascii="宋体" w:hAnsi="宋体"/>
          <w:sz w:val="24"/>
          <w:szCs w:val="24"/>
          <w:highlight w:val="none"/>
        </w:rPr>
      </w:pPr>
    </w:p>
    <w:p>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pPr>
        <w:spacing w:line="400" w:lineRule="exact"/>
        <w:ind w:firstLine="410" w:firstLineChars="171"/>
        <w:outlineLvl w:val="1"/>
        <w:rPr>
          <w:rFonts w:hint="eastAsia" w:ascii="宋体" w:hAnsi="宋体"/>
          <w:color w:val="000000"/>
          <w:sz w:val="24"/>
          <w:szCs w:val="24"/>
          <w:highlight w:val="none"/>
        </w:rPr>
      </w:pPr>
      <w:bookmarkStart w:id="74" w:name="_Toc9023"/>
      <w:bookmarkStart w:id="75" w:name="_Toc8960"/>
      <w:bookmarkStart w:id="76" w:name="_Toc23823"/>
      <w:r>
        <w:rPr>
          <w:rFonts w:hint="eastAsia" w:ascii="宋体" w:hAnsi="宋体"/>
          <w:color w:val="000000"/>
          <w:sz w:val="24"/>
          <w:szCs w:val="24"/>
          <w:highlight w:val="none"/>
        </w:rPr>
        <w:t>一、工程质量保修范围和内容</w:t>
      </w:r>
      <w:bookmarkEnd w:id="74"/>
      <w:bookmarkEnd w:id="75"/>
      <w:bookmarkEnd w:id="76"/>
    </w:p>
    <w:p>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pPr>
        <w:spacing w:line="400" w:lineRule="exact"/>
        <w:ind w:firstLine="410" w:firstLineChars="171"/>
        <w:outlineLvl w:val="1"/>
        <w:rPr>
          <w:rFonts w:hint="eastAsia" w:ascii="宋体" w:hAnsi="宋体"/>
          <w:color w:val="000000"/>
          <w:sz w:val="24"/>
          <w:szCs w:val="24"/>
          <w:highlight w:val="none"/>
        </w:rPr>
      </w:pPr>
      <w:bookmarkStart w:id="77" w:name="_Toc5371"/>
      <w:bookmarkStart w:id="78" w:name="_Toc5061"/>
      <w:bookmarkStart w:id="79" w:name="_Toc17829"/>
      <w:r>
        <w:rPr>
          <w:rFonts w:hint="eastAsia" w:ascii="宋体" w:hAnsi="宋体"/>
          <w:color w:val="000000"/>
          <w:sz w:val="24"/>
          <w:szCs w:val="24"/>
          <w:highlight w:val="none"/>
        </w:rPr>
        <w:t>二、质量保修期</w:t>
      </w:r>
      <w:bookmarkEnd w:id="77"/>
      <w:bookmarkEnd w:id="78"/>
      <w:bookmarkEnd w:id="79"/>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pPr>
        <w:spacing w:line="400" w:lineRule="exact"/>
        <w:ind w:firstLine="410" w:firstLineChars="171"/>
        <w:outlineLvl w:val="1"/>
        <w:rPr>
          <w:rFonts w:hint="eastAsia" w:ascii="宋体" w:hAnsi="宋体"/>
          <w:color w:val="000000"/>
          <w:sz w:val="24"/>
          <w:szCs w:val="24"/>
          <w:highlight w:val="none"/>
        </w:rPr>
      </w:pPr>
      <w:bookmarkStart w:id="80" w:name="_Toc4683"/>
      <w:bookmarkStart w:id="81" w:name="_Toc26327"/>
      <w:bookmarkStart w:id="82" w:name="_Toc5483"/>
      <w:r>
        <w:rPr>
          <w:rFonts w:hint="eastAsia" w:ascii="宋体" w:hAnsi="宋体"/>
          <w:color w:val="000000"/>
          <w:sz w:val="24"/>
          <w:szCs w:val="24"/>
          <w:highlight w:val="none"/>
        </w:rPr>
        <w:t>三、质量保修责任</w:t>
      </w:r>
      <w:bookmarkEnd w:id="80"/>
      <w:bookmarkEnd w:id="81"/>
      <w:bookmarkEnd w:id="82"/>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pPr>
        <w:spacing w:line="400" w:lineRule="exact"/>
        <w:ind w:firstLine="410" w:firstLineChars="171"/>
        <w:outlineLvl w:val="1"/>
        <w:rPr>
          <w:rFonts w:hint="eastAsia" w:ascii="宋体" w:hAnsi="宋体"/>
          <w:color w:val="000000"/>
          <w:sz w:val="24"/>
          <w:szCs w:val="24"/>
          <w:highlight w:val="none"/>
        </w:rPr>
      </w:pPr>
      <w:bookmarkStart w:id="83" w:name="_Toc32594"/>
      <w:bookmarkStart w:id="84" w:name="_Toc29731"/>
      <w:bookmarkStart w:id="85" w:name="_Toc24176"/>
      <w:r>
        <w:rPr>
          <w:rFonts w:hint="eastAsia" w:ascii="宋体" w:hAnsi="宋体"/>
          <w:color w:val="000000"/>
          <w:sz w:val="24"/>
          <w:szCs w:val="24"/>
          <w:highlight w:val="none"/>
        </w:rPr>
        <w:t>四、质量保修金的支付</w:t>
      </w:r>
      <w:bookmarkEnd w:id="83"/>
      <w:bookmarkEnd w:id="84"/>
      <w:bookmarkEnd w:id="85"/>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pPr>
        <w:spacing w:line="400" w:lineRule="exact"/>
        <w:ind w:firstLine="410" w:firstLineChars="171"/>
        <w:outlineLvl w:val="1"/>
        <w:rPr>
          <w:rFonts w:hint="eastAsia" w:ascii="宋体" w:hAnsi="宋体"/>
          <w:color w:val="000000"/>
          <w:sz w:val="24"/>
          <w:szCs w:val="24"/>
          <w:highlight w:val="none"/>
        </w:rPr>
      </w:pPr>
      <w:bookmarkStart w:id="86" w:name="_Toc3410"/>
      <w:bookmarkStart w:id="87" w:name="_Toc15194"/>
      <w:bookmarkStart w:id="88" w:name="_Toc7060"/>
      <w:r>
        <w:rPr>
          <w:rFonts w:hint="eastAsia" w:ascii="宋体" w:hAnsi="宋体"/>
          <w:color w:val="000000"/>
          <w:sz w:val="24"/>
          <w:szCs w:val="24"/>
          <w:highlight w:val="none"/>
        </w:rPr>
        <w:t>五、工程质量保修金的返还</w:t>
      </w:r>
      <w:bookmarkEnd w:id="86"/>
      <w:bookmarkEnd w:id="87"/>
      <w:bookmarkEnd w:id="88"/>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pPr>
        <w:spacing w:line="400" w:lineRule="exact"/>
        <w:ind w:firstLine="410" w:firstLineChars="171"/>
        <w:outlineLvl w:val="1"/>
        <w:rPr>
          <w:rFonts w:hint="eastAsia" w:ascii="宋体" w:hAnsi="宋体"/>
          <w:color w:val="000000"/>
          <w:sz w:val="24"/>
          <w:szCs w:val="24"/>
          <w:highlight w:val="none"/>
        </w:rPr>
      </w:pPr>
      <w:bookmarkStart w:id="89" w:name="_Toc30205"/>
      <w:bookmarkStart w:id="90" w:name="_Toc18890"/>
      <w:bookmarkStart w:id="91" w:name="_Toc16596"/>
      <w:r>
        <w:rPr>
          <w:rFonts w:hint="eastAsia" w:ascii="宋体" w:hAnsi="宋体"/>
          <w:color w:val="000000"/>
          <w:sz w:val="24"/>
          <w:szCs w:val="24"/>
          <w:highlight w:val="none"/>
        </w:rPr>
        <w:t>六、其他</w:t>
      </w:r>
      <w:bookmarkEnd w:id="89"/>
      <w:bookmarkEnd w:id="90"/>
      <w:bookmarkEnd w:id="91"/>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pPr>
        <w:spacing w:line="400" w:lineRule="exact"/>
        <w:ind w:firstLine="410" w:firstLineChars="171"/>
        <w:rPr>
          <w:rFonts w:hint="eastAsia" w:ascii="宋体" w:hAnsi="宋体"/>
          <w:color w:val="000000"/>
          <w:sz w:val="24"/>
          <w:szCs w:val="24"/>
          <w:highlight w:val="none"/>
        </w:rPr>
      </w:pPr>
    </w:p>
    <w:p>
      <w:pPr>
        <w:spacing w:line="400" w:lineRule="exact"/>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ind w:firstLine="410" w:firstLineChars="171"/>
        <w:rPr>
          <w:rFonts w:hint="eastAsia" w:ascii="宋体" w:hAnsi="宋体"/>
          <w:color w:val="000000"/>
          <w:sz w:val="24"/>
          <w:szCs w:val="24"/>
          <w:highlight w:val="none"/>
        </w:rPr>
      </w:pPr>
    </w:p>
    <w:p>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pPr>
        <w:pStyle w:val="16"/>
        <w:ind w:firstLine="0" w:firstLineChars="0"/>
        <w:rPr>
          <w:sz w:val="24"/>
          <w:szCs w:val="24"/>
          <w:highlight w:val="none"/>
        </w:rPr>
      </w:pPr>
    </w:p>
    <w:p>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pPr>
        <w:pStyle w:val="16"/>
        <w:rPr>
          <w:sz w:val="24"/>
          <w:szCs w:val="24"/>
          <w:highlight w:val="none"/>
        </w:rPr>
      </w:pP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pPr>
        <w:pStyle w:val="16"/>
        <w:rPr>
          <w:sz w:val="24"/>
          <w:szCs w:val="24"/>
          <w:highlight w:val="none"/>
        </w:rPr>
      </w:pPr>
    </w:p>
    <w:p>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pPr>
        <w:pStyle w:val="16"/>
        <w:ind w:firstLine="0" w:firstLineChars="0"/>
        <w:rPr>
          <w:sz w:val="24"/>
          <w:szCs w:val="24"/>
          <w:highlight w:val="none"/>
        </w:rPr>
      </w:pPr>
    </w:p>
    <w:p>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pPr>
        <w:pStyle w:val="16"/>
        <w:rPr>
          <w:sz w:val="24"/>
          <w:szCs w:val="24"/>
          <w:highlight w:val="none"/>
          <w:u w:val="single"/>
        </w:rPr>
      </w:pPr>
    </w:p>
    <w:p>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pPr>
        <w:pStyle w:val="16"/>
        <w:spacing w:line="360" w:lineRule="auto"/>
        <w:ind w:firstLine="0" w:firstLineChars="0"/>
        <w:rPr>
          <w:rFonts w:hint="eastAsia" w:ascii="宋体" w:hAnsi="宋体" w:cs="宋体"/>
          <w:sz w:val="24"/>
          <w:szCs w:val="24"/>
          <w:highlight w:val="none"/>
        </w:rPr>
      </w:pPr>
    </w:p>
    <w:p>
      <w:pPr>
        <w:pStyle w:val="16"/>
        <w:spacing w:line="360" w:lineRule="auto"/>
        <w:ind w:firstLine="0" w:firstLineChars="0"/>
        <w:rPr>
          <w:rFonts w:hint="eastAsia" w:ascii="宋体" w:hAnsi="宋体" w:cs="宋体"/>
          <w:sz w:val="24"/>
          <w:szCs w:val="24"/>
          <w:highlight w:val="none"/>
        </w:rPr>
      </w:pPr>
    </w:p>
    <w:p>
      <w:pPr>
        <w:pStyle w:val="16"/>
        <w:spacing w:line="360" w:lineRule="auto"/>
        <w:ind w:firstLine="0" w:firstLineChars="0"/>
        <w:rPr>
          <w:rFonts w:hint="eastAsia" w:ascii="宋体" w:hAnsi="宋体" w:cs="宋体"/>
          <w:sz w:val="24"/>
          <w:szCs w:val="24"/>
          <w:highlight w:val="none"/>
        </w:rPr>
      </w:pPr>
    </w:p>
    <w:p>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pPr>
        <w:pStyle w:val="16"/>
        <w:spacing w:line="360" w:lineRule="auto"/>
        <w:ind w:firstLine="422"/>
        <w:outlineLvl w:val="1"/>
        <w:rPr>
          <w:rFonts w:ascii="宋体" w:hAnsi="宋体" w:cs="宋体"/>
          <w:b/>
          <w:bCs/>
          <w:sz w:val="24"/>
          <w:szCs w:val="24"/>
          <w:highlight w:val="none"/>
        </w:rPr>
      </w:pPr>
      <w:bookmarkStart w:id="92" w:name="_Toc14218"/>
      <w:bookmarkStart w:id="93" w:name="_Toc7698"/>
      <w:bookmarkStart w:id="94" w:name="_Toc25076"/>
      <w:r>
        <w:rPr>
          <w:rFonts w:hint="eastAsia" w:ascii="宋体" w:hAnsi="宋体" w:cs="宋体"/>
          <w:b/>
          <w:bCs/>
          <w:sz w:val="24"/>
          <w:szCs w:val="24"/>
          <w:highlight w:val="none"/>
        </w:rPr>
        <w:t>一、建设工程安全生产管理目标及必须达到的安全事故控制指标</w:t>
      </w:r>
      <w:bookmarkEnd w:id="92"/>
      <w:bookmarkEnd w:id="93"/>
      <w:bookmarkEnd w:id="94"/>
    </w:p>
    <w:p>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pPr>
        <w:pStyle w:val="16"/>
        <w:spacing w:line="360" w:lineRule="auto"/>
        <w:ind w:firstLine="422"/>
        <w:outlineLvl w:val="1"/>
        <w:rPr>
          <w:rFonts w:ascii="宋体" w:hAnsi="宋体" w:cs="宋体"/>
          <w:b/>
          <w:bCs/>
          <w:sz w:val="24"/>
          <w:szCs w:val="24"/>
          <w:highlight w:val="none"/>
        </w:rPr>
      </w:pPr>
      <w:bookmarkStart w:id="95" w:name="_Toc3298"/>
      <w:bookmarkStart w:id="96" w:name="_Toc13408"/>
      <w:bookmarkStart w:id="97" w:name="_Toc23144"/>
      <w:r>
        <w:rPr>
          <w:rFonts w:hint="eastAsia" w:ascii="宋体" w:hAnsi="宋体" w:cs="宋体"/>
          <w:b/>
          <w:bCs/>
          <w:sz w:val="24"/>
          <w:szCs w:val="24"/>
          <w:highlight w:val="none"/>
        </w:rPr>
        <w:t>二、本合同有效期限</w:t>
      </w:r>
      <w:bookmarkEnd w:id="95"/>
      <w:bookmarkEnd w:id="96"/>
      <w:bookmarkEnd w:id="97"/>
    </w:p>
    <w:p>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pPr>
        <w:pStyle w:val="16"/>
        <w:spacing w:line="360" w:lineRule="auto"/>
        <w:ind w:firstLine="422"/>
        <w:outlineLvl w:val="1"/>
        <w:rPr>
          <w:rFonts w:ascii="宋体" w:hAnsi="宋体" w:cs="宋体"/>
          <w:sz w:val="24"/>
          <w:szCs w:val="24"/>
          <w:highlight w:val="none"/>
        </w:rPr>
      </w:pPr>
      <w:bookmarkStart w:id="98" w:name="_Toc32296"/>
      <w:bookmarkStart w:id="99" w:name="_Toc7400"/>
      <w:bookmarkStart w:id="100" w:name="_Toc29237"/>
      <w:r>
        <w:rPr>
          <w:rFonts w:hint="eastAsia" w:ascii="宋体" w:hAnsi="宋体" w:cs="宋体"/>
          <w:b/>
          <w:bCs/>
          <w:sz w:val="24"/>
          <w:szCs w:val="24"/>
          <w:highlight w:val="none"/>
        </w:rPr>
        <w:t>四、发包人的安全生产管理义务</w:t>
      </w:r>
      <w:bookmarkEnd w:id="98"/>
      <w:bookmarkEnd w:id="99"/>
      <w:bookmarkEnd w:id="100"/>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pPr>
        <w:pStyle w:val="16"/>
        <w:spacing w:line="360" w:lineRule="auto"/>
        <w:ind w:firstLine="422"/>
        <w:outlineLvl w:val="1"/>
        <w:rPr>
          <w:rFonts w:ascii="宋体" w:hAnsi="宋体" w:cs="宋体"/>
          <w:b/>
          <w:bCs/>
          <w:sz w:val="24"/>
          <w:szCs w:val="24"/>
          <w:highlight w:val="none"/>
        </w:rPr>
      </w:pPr>
      <w:bookmarkStart w:id="101" w:name="_Toc17602"/>
      <w:bookmarkStart w:id="102" w:name="_Toc102"/>
      <w:bookmarkStart w:id="103" w:name="_Toc12065"/>
      <w:r>
        <w:rPr>
          <w:rFonts w:hint="eastAsia" w:ascii="宋体" w:hAnsi="宋体" w:cs="宋体"/>
          <w:b/>
          <w:bCs/>
          <w:sz w:val="24"/>
          <w:szCs w:val="24"/>
          <w:highlight w:val="none"/>
        </w:rPr>
        <w:t>五、承包人的安全生产责任与义务</w:t>
      </w:r>
      <w:bookmarkEnd w:id="101"/>
      <w:bookmarkEnd w:id="102"/>
      <w:bookmarkEnd w:id="103"/>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pPr>
        <w:pStyle w:val="16"/>
        <w:spacing w:line="360" w:lineRule="auto"/>
        <w:ind w:firstLine="422"/>
        <w:outlineLvl w:val="1"/>
        <w:rPr>
          <w:rFonts w:ascii="宋体" w:hAnsi="宋体" w:cs="宋体"/>
          <w:sz w:val="24"/>
          <w:szCs w:val="24"/>
          <w:highlight w:val="none"/>
        </w:rPr>
      </w:pPr>
      <w:bookmarkStart w:id="104" w:name="_Toc4122"/>
      <w:bookmarkStart w:id="105" w:name="_Toc5123"/>
      <w:bookmarkStart w:id="106" w:name="_Toc26345"/>
      <w:r>
        <w:rPr>
          <w:rFonts w:hint="eastAsia" w:ascii="宋体" w:hAnsi="宋体" w:cs="宋体"/>
          <w:b/>
          <w:bCs/>
          <w:sz w:val="24"/>
          <w:szCs w:val="24"/>
          <w:highlight w:val="none"/>
        </w:rPr>
        <w:t>六、现场停工整改约定</w:t>
      </w:r>
      <w:bookmarkEnd w:id="104"/>
      <w:bookmarkEnd w:id="105"/>
      <w:bookmarkEnd w:id="106"/>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pPr>
        <w:pStyle w:val="16"/>
        <w:spacing w:line="360" w:lineRule="auto"/>
        <w:ind w:firstLine="422"/>
        <w:outlineLvl w:val="1"/>
        <w:rPr>
          <w:rFonts w:ascii="宋体" w:hAnsi="宋体" w:cs="宋体"/>
          <w:b/>
          <w:bCs/>
          <w:sz w:val="24"/>
          <w:szCs w:val="24"/>
          <w:highlight w:val="none"/>
        </w:rPr>
      </w:pPr>
      <w:bookmarkStart w:id="107" w:name="_Toc15355"/>
      <w:bookmarkStart w:id="108" w:name="_Toc15906"/>
      <w:bookmarkStart w:id="109" w:name="_Toc11112"/>
      <w:r>
        <w:rPr>
          <w:rFonts w:hint="eastAsia" w:ascii="宋体" w:hAnsi="宋体" w:cs="宋体"/>
          <w:b/>
          <w:bCs/>
          <w:sz w:val="24"/>
          <w:szCs w:val="24"/>
          <w:highlight w:val="none"/>
        </w:rPr>
        <w:t>七、安全生产保证金的缴纳与补缴约定</w:t>
      </w:r>
      <w:bookmarkEnd w:id="107"/>
      <w:bookmarkEnd w:id="108"/>
      <w:bookmarkEnd w:id="109"/>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pPr>
        <w:pStyle w:val="16"/>
        <w:spacing w:line="360" w:lineRule="auto"/>
        <w:ind w:firstLine="422"/>
        <w:outlineLvl w:val="1"/>
        <w:rPr>
          <w:rFonts w:ascii="宋体" w:hAnsi="宋体" w:cs="宋体"/>
          <w:b/>
          <w:bCs/>
          <w:sz w:val="24"/>
          <w:szCs w:val="24"/>
          <w:highlight w:val="none"/>
        </w:rPr>
      </w:pPr>
      <w:bookmarkStart w:id="110" w:name="_Toc19147"/>
      <w:bookmarkStart w:id="111" w:name="_Toc12127"/>
      <w:bookmarkStart w:id="112" w:name="_Toc14739"/>
      <w:r>
        <w:rPr>
          <w:rFonts w:hint="eastAsia" w:ascii="宋体" w:hAnsi="宋体" w:cs="宋体"/>
          <w:b/>
          <w:bCs/>
          <w:sz w:val="24"/>
          <w:szCs w:val="24"/>
          <w:highlight w:val="none"/>
        </w:rPr>
        <w:t>八、安全生产奖励约定</w:t>
      </w:r>
      <w:bookmarkEnd w:id="110"/>
      <w:bookmarkEnd w:id="111"/>
      <w:bookmarkEnd w:id="112"/>
    </w:p>
    <w:p>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pPr>
        <w:pStyle w:val="16"/>
        <w:spacing w:line="360" w:lineRule="auto"/>
        <w:ind w:firstLine="422"/>
        <w:outlineLvl w:val="1"/>
        <w:rPr>
          <w:rFonts w:ascii="宋体" w:hAnsi="宋体" w:cs="宋体"/>
          <w:b/>
          <w:bCs/>
          <w:sz w:val="24"/>
          <w:szCs w:val="24"/>
          <w:highlight w:val="none"/>
        </w:rPr>
      </w:pPr>
      <w:bookmarkStart w:id="113" w:name="_Toc19927"/>
      <w:bookmarkStart w:id="114" w:name="_Toc21726"/>
      <w:bookmarkStart w:id="115" w:name="_Toc8150"/>
      <w:r>
        <w:rPr>
          <w:rFonts w:hint="eastAsia" w:ascii="宋体" w:hAnsi="宋体" w:cs="宋体"/>
          <w:b/>
          <w:bCs/>
          <w:sz w:val="24"/>
          <w:szCs w:val="24"/>
          <w:highlight w:val="none"/>
        </w:rPr>
        <w:t>九、安全生产违约责任</w:t>
      </w:r>
      <w:bookmarkEnd w:id="113"/>
      <w:bookmarkEnd w:id="114"/>
      <w:bookmarkEnd w:id="115"/>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pPr>
        <w:pStyle w:val="16"/>
        <w:spacing w:line="360" w:lineRule="auto"/>
        <w:ind w:firstLine="422"/>
        <w:outlineLvl w:val="1"/>
        <w:rPr>
          <w:rFonts w:ascii="宋体" w:hAnsi="宋体" w:cs="宋体"/>
          <w:sz w:val="24"/>
          <w:szCs w:val="24"/>
          <w:highlight w:val="none"/>
        </w:rPr>
      </w:pPr>
      <w:bookmarkStart w:id="116" w:name="_Toc26554"/>
      <w:bookmarkStart w:id="117" w:name="_Toc29474"/>
      <w:bookmarkStart w:id="118" w:name="_Toc22324"/>
      <w:r>
        <w:rPr>
          <w:rFonts w:hint="eastAsia" w:ascii="宋体" w:hAnsi="宋体" w:cs="宋体"/>
          <w:b/>
          <w:bCs/>
          <w:sz w:val="24"/>
          <w:szCs w:val="24"/>
          <w:highlight w:val="none"/>
        </w:rPr>
        <w:t>十、安全生产保证金返还约定</w:t>
      </w:r>
      <w:bookmarkEnd w:id="116"/>
      <w:bookmarkEnd w:id="117"/>
      <w:bookmarkEnd w:id="118"/>
    </w:p>
    <w:p>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pPr>
        <w:pStyle w:val="16"/>
        <w:spacing w:line="360" w:lineRule="auto"/>
        <w:ind w:firstLine="422"/>
        <w:outlineLvl w:val="1"/>
        <w:rPr>
          <w:rFonts w:ascii="宋体" w:hAnsi="宋体" w:cs="宋体"/>
          <w:b/>
          <w:bCs/>
          <w:sz w:val="24"/>
          <w:szCs w:val="24"/>
          <w:highlight w:val="none"/>
        </w:rPr>
      </w:pPr>
      <w:bookmarkStart w:id="119" w:name="_Toc17228"/>
      <w:bookmarkStart w:id="120" w:name="_Toc24767"/>
      <w:bookmarkStart w:id="121" w:name="_Toc21176"/>
      <w:r>
        <w:rPr>
          <w:rFonts w:hint="eastAsia" w:ascii="宋体" w:hAnsi="宋体" w:cs="宋体"/>
          <w:b/>
          <w:bCs/>
          <w:sz w:val="24"/>
          <w:szCs w:val="24"/>
          <w:highlight w:val="none"/>
        </w:rPr>
        <w:t>十一、附则</w:t>
      </w:r>
      <w:bookmarkEnd w:id="119"/>
      <w:bookmarkEnd w:id="120"/>
      <w:bookmarkEnd w:id="121"/>
    </w:p>
    <w:p>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315E5599"/>
    <w:rsid w:val="31A42362"/>
    <w:rsid w:val="4EE8783B"/>
    <w:rsid w:val="593E5453"/>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20301</Words>
  <Characters>20661</Characters>
  <Lines>0</Lines>
  <Paragraphs>0</Paragraphs>
  <TotalTime>0</TotalTime>
  <ScaleCrop>false</ScaleCrop>
  <LinksUpToDate>false</LinksUpToDate>
  <CharactersWithSpaces>22002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Turn?_?</cp:lastModifiedBy>
  <dcterms:modified xsi:type="dcterms:W3CDTF">2025-05-10T14:58:09Z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