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版本号：QHY-ZB2025-042720250427001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2025年第一批省级残疾人就业保障金（残疾人托养和照护服务项目）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QHY-ZB2025-0427</w:t>
      </w:r>
      <w:r>
        <w:br/>
      </w:r>
      <w:r>
        <w:br/>
      </w:r>
      <w:r>
        <w:br/>
      </w:r>
    </w:p>
    <w:p>
      <w:pPr>
        <w:pStyle w:val="null3"/>
        <w:jc w:val="center"/>
        <w:outlineLvl w:val="2"/>
      </w:pPr>
      <w:r>
        <w:rPr>
          <w:rFonts w:ascii="仿宋_GB2312" w:hAnsi="仿宋_GB2312" w:cs="仿宋_GB2312" w:eastAsia="仿宋_GB2312"/>
          <w:sz w:val="28"/>
          <w:b/>
        </w:rPr>
        <w:t>西安市蓝田县残疾人联合会（本级）</w:t>
      </w:r>
    </w:p>
    <w:p>
      <w:pPr>
        <w:pStyle w:val="null3"/>
        <w:jc w:val="center"/>
        <w:outlineLvl w:val="2"/>
      </w:pPr>
      <w:r>
        <w:rPr>
          <w:rFonts w:ascii="仿宋_GB2312" w:hAnsi="仿宋_GB2312" w:cs="仿宋_GB2312" w:eastAsia="仿宋_GB2312"/>
          <w:sz w:val="28"/>
          <w:b/>
        </w:rPr>
        <w:t>陕西秦恒源建设有限公司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陕西秦恒源建设有限公司</w:t>
      </w:r>
      <w:r>
        <w:rPr>
          <w:rFonts w:ascii="仿宋_GB2312" w:hAnsi="仿宋_GB2312" w:cs="仿宋_GB2312" w:eastAsia="仿宋_GB2312"/>
        </w:rPr>
        <w:t>（以下简称“代理机构”）受</w:t>
      </w:r>
      <w:r>
        <w:rPr>
          <w:rFonts w:ascii="仿宋_GB2312" w:hAnsi="仿宋_GB2312" w:cs="仿宋_GB2312" w:eastAsia="仿宋_GB2312"/>
        </w:rPr>
        <w:t>西安市蓝田县残疾人联合会（本级）</w:t>
      </w:r>
      <w:r>
        <w:rPr>
          <w:rFonts w:ascii="仿宋_GB2312" w:hAnsi="仿宋_GB2312" w:cs="仿宋_GB2312" w:eastAsia="仿宋_GB2312"/>
        </w:rPr>
        <w:t>委托，拟对</w:t>
      </w:r>
      <w:r>
        <w:rPr>
          <w:rFonts w:ascii="仿宋_GB2312" w:hAnsi="仿宋_GB2312" w:cs="仿宋_GB2312" w:eastAsia="仿宋_GB2312"/>
        </w:rPr>
        <w:t>2025年第一批省级残疾人就业保障金（残疾人托养和照护服务项目）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QHY-ZB2025-0427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2025年第一批省级残疾人就业保障金（残疾人托养和照护服务项目）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第一批省级残疾人就业保障金（残疾人托养和照护服务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采购包1（2025年第一批省级残疾人就业保障金（残疾人托养和照护服务项目））：属于专门面向中小企业采购。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 , 提供合法有效的（三证合一）统一社会信用代码的营业执照（复印件加盖供应商 公章或提供网上可查询的网址信息）；</w:t>
      </w:r>
    </w:p>
    <w:p>
      <w:pPr>
        <w:pStyle w:val="null3"/>
      </w:pPr>
      <w:r>
        <w:rPr>
          <w:rFonts w:ascii="仿宋_GB2312" w:hAnsi="仿宋_GB2312" w:cs="仿宋_GB2312" w:eastAsia="仿宋_GB2312"/>
        </w:rPr>
        <w:t>2、授权委托书：法定代表人直接磋商须提交法定代表人身份证明书及其身份证原件，法定代表人授 权代表参加磋商的，须出具授权书及被授权人身份证（原件）；</w:t>
      </w:r>
    </w:p>
    <w:p>
      <w:pPr>
        <w:pStyle w:val="null3"/>
      </w:pPr>
      <w:r>
        <w:rPr>
          <w:rFonts w:ascii="仿宋_GB2312" w:hAnsi="仿宋_GB2312" w:cs="仿宋_GB2312" w:eastAsia="仿宋_GB2312"/>
        </w:rPr>
        <w:t>3、财务状况报告：提供 2023 年或2024年度经审计的财务报告（包括三表一注，成立时间至提交磋 商响应文件截止时间不足一年的可提供成立后任意时段的资产负债表），或其开标 前三个月内基本存款账户开户银行出具的资信证明，或信用担保机构出具的投标担 保函。（以上三种形式的资料提供任何一种即可） ；</w:t>
      </w:r>
    </w:p>
    <w:p>
      <w:pPr>
        <w:pStyle w:val="null3"/>
      </w:pPr>
      <w:r>
        <w:rPr>
          <w:rFonts w:ascii="仿宋_GB2312" w:hAnsi="仿宋_GB2312" w:cs="仿宋_GB2312" w:eastAsia="仿宋_GB2312"/>
        </w:rPr>
        <w:t>4、税收缴纳证明：磋商文件提交截止时间前近六个月内至少一个月的完税凭证或税务机关开具的完税 证明 (任意税种)；依法免税的应提供相关文件证明；</w:t>
      </w:r>
    </w:p>
    <w:p>
      <w:pPr>
        <w:pStyle w:val="null3"/>
      </w:pPr>
      <w:r>
        <w:rPr>
          <w:rFonts w:ascii="仿宋_GB2312" w:hAnsi="仿宋_GB2312" w:cs="仿宋_GB2312" w:eastAsia="仿宋_GB2312"/>
        </w:rPr>
        <w:t>5、社会保障资金缴纳证明：磋商文件提交截止时间前近六个月内至少一个月的社会保障资金缴存证明或社保机 构开具的社会保险参保缴费情况证明；依法不需要缴纳社会保障资金的应提供相关 文件证明；</w:t>
      </w:r>
    </w:p>
    <w:p>
      <w:pPr>
        <w:pStyle w:val="null3"/>
      </w:pPr>
      <w:r>
        <w:rPr>
          <w:rFonts w:ascii="仿宋_GB2312" w:hAnsi="仿宋_GB2312" w:cs="仿宋_GB2312" w:eastAsia="仿宋_GB2312"/>
        </w:rPr>
        <w:t>6、承诺函：供应商须提供具有履行合同所必需的设备和专业技术能力的承诺函(加盖供应商公 章)；</w:t>
      </w:r>
    </w:p>
    <w:p>
      <w:pPr>
        <w:pStyle w:val="null3"/>
      </w:pPr>
      <w:r>
        <w:rPr>
          <w:rFonts w:ascii="仿宋_GB2312" w:hAnsi="仿宋_GB2312" w:cs="仿宋_GB2312" w:eastAsia="仿宋_GB2312"/>
        </w:rPr>
        <w:t>7、书面声明：供应商应具备良好的商业信誉，提供参加政府采购活动前 3 年内在经营活动中没 有重大违法记录的书面声明（原件加盖供应商公章）；</w:t>
      </w:r>
    </w:p>
    <w:p>
      <w:pPr>
        <w:pStyle w:val="null3"/>
      </w:pPr>
      <w:r>
        <w:rPr>
          <w:rFonts w:ascii="仿宋_GB2312" w:hAnsi="仿宋_GB2312" w:cs="仿宋_GB2312" w:eastAsia="仿宋_GB2312"/>
        </w:rPr>
        <w:t>8、信用情况：提供磋商时限内“信用中国”(www.creditchina.gov.cn)网站生成的带 水印信用报 告及中国政府采购网(www.ccgp.gov.cn)查询截图中，无严重失信记录；（民办 非企业单位提供信用承诺函。对列入失信被执行人、重大税收违法案件当事人名单 、政府采购严重违法失信行为记录名单及其他不符合《中华人民共和国政府采购法 》第二十二条规定条件的，招标代理机构将拒绝其参与政府采购活动）（加盖供应 商公章）；</w:t>
      </w:r>
    </w:p>
    <w:p>
      <w:pPr>
        <w:pStyle w:val="null3"/>
      </w:pPr>
      <w:r>
        <w:rPr>
          <w:rFonts w:ascii="仿宋_GB2312" w:hAnsi="仿宋_GB2312" w:cs="仿宋_GB2312" w:eastAsia="仿宋_GB2312"/>
        </w:rPr>
        <w:t>9、控股关系：供应商在本项目磋商中，不存在与其它供应商负责人为同一人，有控股、管理等关 联关系（提供承诺书） ；</w:t>
      </w:r>
    </w:p>
    <w:p>
      <w:pPr>
        <w:pStyle w:val="null3"/>
      </w:pPr>
      <w:r>
        <w:rPr>
          <w:rFonts w:ascii="仿宋_GB2312" w:hAnsi="仿宋_GB2312" w:cs="仿宋_GB2312" w:eastAsia="仿宋_GB2312"/>
        </w:rPr>
        <w:t>10、不接受联合体：项目不接受联合体磋商（提供书面声明材料）。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陕西秦恒源建设有限公司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陕西省西安市灞桥区陕西省西安市灞桥区纺西街华夏世纪广场A座2106室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18091592631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收取 名称:陕西秦恒源建设有限公司 税号: 9161 0113 MA6U 96NM 77 单位地址:陕西省西安市灞桥区纺西街华夏世纪广场A座1705室 电话: 15319719053 开户银行:中国建设银行股份有限公司西安西影路东段支行 银行账户:61050176004100000809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西安市蓝田县残疾人联合会（本级）</w:t>
      </w:r>
      <w:r>
        <w:rPr>
          <w:rFonts w:ascii="仿宋_GB2312" w:hAnsi="仿宋_GB2312" w:cs="仿宋_GB2312" w:eastAsia="仿宋_GB2312"/>
        </w:rPr>
        <w:t>和</w:t>
      </w:r>
      <w:r>
        <w:rPr>
          <w:rFonts w:ascii="仿宋_GB2312" w:hAnsi="仿宋_GB2312" w:cs="仿宋_GB2312" w:eastAsia="仿宋_GB2312"/>
        </w:rPr>
        <w:t>陕西秦恒源建设有限公司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陕西秦恒源建设有限公司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陕西秦恒源建设有限公司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陕西秦恒源建设有限公司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陕西秦恒源建设有限公司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陕西秦恒源建设有限公司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联系人：潘星</w:t>
      </w:r>
    </w:p>
    <w:p>
      <w:pPr>
        <w:pStyle w:val="null3"/>
      </w:pPr>
      <w:r>
        <w:rPr>
          <w:rFonts w:ascii="仿宋_GB2312" w:hAnsi="仿宋_GB2312" w:cs="仿宋_GB2312" w:eastAsia="仿宋_GB2312"/>
        </w:rPr>
        <w:t>联系电话：18091592631</w:t>
      </w:r>
    </w:p>
    <w:p>
      <w:pPr>
        <w:pStyle w:val="null3"/>
      </w:pPr>
      <w:r>
        <w:rPr>
          <w:rFonts w:ascii="仿宋_GB2312" w:hAnsi="仿宋_GB2312" w:cs="仿宋_GB2312" w:eastAsia="仿宋_GB2312"/>
        </w:rPr>
        <w:t>地址：陕西省西安市灞桥区纺西街华夏世纪广场A座1705室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第一批省级残疾人就业保障金（残疾人托养和照护服务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2025年第一批省级残疾人就业保障金（残疾人托养和照护服务项目））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标的名称：2025年第一批省级残疾人就业保障金（残疾人托养和照护服务项目））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0"/>
                <w:b/>
              </w:rPr>
              <w:t>一、项目概况</w:t>
            </w:r>
          </w:p>
          <w:p>
            <w:pPr>
              <w:pStyle w:val="null3"/>
              <w:ind w:firstLine="400"/>
              <w:jc w:val="both"/>
            </w:pPr>
            <w:r>
              <w:rPr>
                <w:rFonts w:ascii="仿宋_GB2312" w:hAnsi="仿宋_GB2312" w:cs="仿宋_GB2312" w:eastAsia="仿宋_GB2312"/>
                <w:sz w:val="28"/>
              </w:rPr>
              <w:t>2025年第一批省级残疾人就业保障金（残疾人托养和照护服务项目）</w:t>
            </w:r>
            <w:r>
              <w:rPr>
                <w:rFonts w:ascii="仿宋_GB2312" w:hAnsi="仿宋_GB2312" w:cs="仿宋_GB2312" w:eastAsia="仿宋_GB2312"/>
                <w:sz w:val="28"/>
              </w:rPr>
              <w:t>，包括生活照料服务，卫生保洁服务，医疗保健服务，心理慰藉服务以及其他个性化服务，达到为残疾人朋友排忧解难，提高残疾人朋友的生活质量和幸福指数，充分享受社会主义新时代的温暖的目的。</w:t>
            </w:r>
          </w:p>
          <w:p>
            <w:pPr>
              <w:pStyle w:val="null3"/>
              <w:jc w:val="left"/>
            </w:pPr>
            <w:r>
              <w:rPr>
                <w:rFonts w:ascii="仿宋_GB2312" w:hAnsi="仿宋_GB2312" w:cs="仿宋_GB2312" w:eastAsia="仿宋_GB2312"/>
                <w:sz w:val="30"/>
                <w:b/>
              </w:rPr>
              <w:t>二、采购内容</w:t>
            </w:r>
          </w:p>
          <w:p>
            <w:pPr>
              <w:pStyle w:val="null3"/>
              <w:ind w:firstLine="620"/>
              <w:jc w:val="left"/>
            </w:pPr>
            <w:r>
              <w:rPr>
                <w:rFonts w:ascii="仿宋_GB2312" w:hAnsi="仿宋_GB2312" w:cs="仿宋_GB2312" w:eastAsia="仿宋_GB2312"/>
                <w:sz w:val="31"/>
              </w:rPr>
              <w:t>（一）服务对象</w:t>
            </w:r>
          </w:p>
          <w:p>
            <w:pPr>
              <w:pStyle w:val="null3"/>
              <w:ind w:firstLine="600"/>
              <w:jc w:val="both"/>
            </w:pPr>
            <w:r>
              <w:rPr>
                <w:rFonts w:ascii="仿宋_GB2312" w:hAnsi="仿宋_GB2312" w:cs="仿宋_GB2312" w:eastAsia="仿宋_GB2312"/>
                <w:sz w:val="30"/>
              </w:rPr>
              <w:t>（一）</w:t>
            </w:r>
            <w:r>
              <w:rPr>
                <w:rFonts w:ascii="仿宋_GB2312" w:hAnsi="仿宋_GB2312" w:cs="仿宋_GB2312" w:eastAsia="仿宋_GB2312"/>
                <w:sz w:val="30"/>
              </w:rPr>
              <w:t>16-59(&lt;60)周岁的智力残疾人、病情稳定的精神残疾人和重度肢体残疾人以及同时存在智力或精神残疾的多重残疾人;</w:t>
            </w:r>
          </w:p>
          <w:p>
            <w:pPr>
              <w:pStyle w:val="null3"/>
              <w:ind w:firstLine="600"/>
              <w:jc w:val="both"/>
            </w:pPr>
            <w:r>
              <w:rPr>
                <w:rFonts w:ascii="仿宋_GB2312" w:hAnsi="仿宋_GB2312" w:cs="仿宋_GB2312" w:eastAsia="仿宋_GB2312"/>
                <w:sz w:val="30"/>
              </w:rPr>
              <w:t>（二</w:t>
            </w:r>
            <w:r>
              <w:rPr>
                <w:rFonts w:ascii="仿宋_GB2312" w:hAnsi="仿宋_GB2312" w:cs="仿宋_GB2312" w:eastAsia="仿宋_GB2312"/>
                <w:sz w:val="30"/>
              </w:rPr>
              <w:t>)本人和家庭有托养服务需求，自愿接受托养服务。纳入特困人员救助供养条件的残疾人不再作为托养服务对象。</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三</w:t>
            </w:r>
            <w:r>
              <w:rPr>
                <w:rFonts w:ascii="仿宋_GB2312" w:hAnsi="仿宋_GB2312" w:cs="仿宋_GB2312" w:eastAsia="仿宋_GB2312"/>
                <w:sz w:val="30"/>
              </w:rPr>
              <w:t>）</w:t>
            </w:r>
            <w:r>
              <w:rPr>
                <w:rFonts w:ascii="仿宋_GB2312" w:hAnsi="仿宋_GB2312" w:cs="仿宋_GB2312" w:eastAsia="仿宋_GB2312"/>
                <w:sz w:val="30"/>
              </w:rPr>
              <w:t>服务方式</w:t>
            </w:r>
          </w:p>
          <w:p>
            <w:pPr>
              <w:pStyle w:val="null3"/>
              <w:ind w:firstLine="600"/>
              <w:jc w:val="both"/>
            </w:pPr>
            <w:r>
              <w:rPr>
                <w:rFonts w:ascii="仿宋_GB2312" w:hAnsi="仿宋_GB2312" w:cs="仿宋_GB2312" w:eastAsia="仿宋_GB2312"/>
                <w:sz w:val="30"/>
              </w:rPr>
              <w:t>托养服务机构应根据采购方提供的拟入托人员名单，对拟入托人员的托养适宜性进行筛查评估，符合条件的进行集中托养服务。</w:t>
            </w:r>
          </w:p>
          <w:p>
            <w:pPr>
              <w:pStyle w:val="null3"/>
              <w:ind w:firstLine="600"/>
              <w:jc w:val="both"/>
            </w:pPr>
            <w:r>
              <w:rPr>
                <w:rFonts w:ascii="仿宋_GB2312" w:hAnsi="仿宋_GB2312" w:cs="仿宋_GB2312" w:eastAsia="仿宋_GB2312"/>
                <w:sz w:val="30"/>
              </w:rPr>
              <w:t>（四）服务内容</w:t>
            </w:r>
          </w:p>
          <w:p>
            <w:pPr>
              <w:pStyle w:val="null3"/>
              <w:ind w:firstLine="560"/>
              <w:jc w:val="both"/>
            </w:pPr>
            <w:r>
              <w:rPr>
                <w:rFonts w:ascii="仿宋_GB2312" w:hAnsi="仿宋_GB2312" w:cs="仿宋_GB2312" w:eastAsia="仿宋_GB2312"/>
                <w:sz w:val="28"/>
              </w:rPr>
              <w:t xml:space="preserve">4.1生活照料和护理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1）根据服务对象的特点，合理配餐，能够提供点餐、加餐、助餐服务，尊重服务对象饮食习惯，使其得到合理、规律的膳食服务。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2）根据季节和天气情况为服务对象提供合理清洁服务和衣物换洗服务，保持服务对象身体清洁、无异味，衣物卫生、整洁、得体。 </w:t>
            </w:r>
          </w:p>
          <w:p>
            <w:pPr>
              <w:pStyle w:val="null3"/>
              <w:ind w:firstLine="481"/>
              <w:jc w:val="both"/>
            </w:pPr>
            <w:r>
              <w:rPr>
                <w:rFonts w:ascii="仿宋_GB2312" w:hAnsi="仿宋_GB2312" w:cs="仿宋_GB2312" w:eastAsia="仿宋_GB2312"/>
                <w:sz w:val="28"/>
              </w:rPr>
              <w:t>（</w:t>
            </w:r>
            <w:r>
              <w:rPr>
                <w:rFonts w:ascii="仿宋_GB2312" w:hAnsi="仿宋_GB2312" w:cs="仿宋_GB2312" w:eastAsia="仿宋_GB2312"/>
                <w:sz w:val="28"/>
              </w:rPr>
              <w:t xml:space="preserve">3）对有需要的服务对象提供起床、穿衣、就寝、脱衣、整理床铺、如厕等基本起居服务。 </w:t>
            </w:r>
          </w:p>
          <w:p>
            <w:pPr>
              <w:pStyle w:val="null3"/>
              <w:ind w:firstLine="481"/>
              <w:jc w:val="both"/>
            </w:pPr>
            <w:r>
              <w:rPr>
                <w:rFonts w:ascii="仿宋_GB2312" w:hAnsi="仿宋_GB2312" w:cs="仿宋_GB2312" w:eastAsia="仿宋_GB2312"/>
                <w:sz w:val="28"/>
              </w:rPr>
              <w:t>（</w:t>
            </w:r>
            <w:r>
              <w:rPr>
                <w:rFonts w:ascii="仿宋_GB2312" w:hAnsi="仿宋_GB2312" w:cs="仿宋_GB2312" w:eastAsia="仿宋_GB2312"/>
                <w:sz w:val="28"/>
              </w:rPr>
              <w:t xml:space="preserve">4）制定合理的作息制度并在显著位置标示。 </w:t>
            </w:r>
          </w:p>
          <w:p>
            <w:pPr>
              <w:pStyle w:val="null3"/>
              <w:ind w:firstLine="481"/>
              <w:jc w:val="both"/>
            </w:pPr>
            <w:r>
              <w:rPr>
                <w:rFonts w:ascii="仿宋_GB2312" w:hAnsi="仿宋_GB2312" w:cs="仿宋_GB2312" w:eastAsia="仿宋_GB2312"/>
                <w:sz w:val="28"/>
              </w:rPr>
              <w:t>（</w:t>
            </w:r>
            <w:r>
              <w:rPr>
                <w:rFonts w:ascii="仿宋_GB2312" w:hAnsi="仿宋_GB2312" w:cs="仿宋_GB2312" w:eastAsia="仿宋_GB2312"/>
                <w:sz w:val="28"/>
              </w:rPr>
              <w:t xml:space="preserve">5）根据服务对象特点进行分级护理，为有需要的服务对象提供康复服务。 </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护理智力残疾对象时，应注意观察和指导。避免因为理解障碍造成意外伤害；护理精神残疾对象时，应注意安全保护和监护。遇特殊情况时，应及时通知其家属或监护人，由专业医技人员或在其指导下适时采取安全保护和监护措施，或转入专业医疗机构就诊。</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 xml:space="preserve">7）在护理过程中，应尊重服务对象的人格和尊严，特别注意保护女性服务对象的人身权益不受侵害。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8）协助有需要的服务对象进行户外活动。在天气情况允许的条件下，每天保证服务对象到户外活动1小时。  </w:t>
            </w:r>
          </w:p>
          <w:p>
            <w:pPr>
              <w:pStyle w:val="null3"/>
              <w:jc w:val="both"/>
            </w:pPr>
            <w:r>
              <w:rPr>
                <w:rFonts w:ascii="仿宋_GB2312" w:hAnsi="仿宋_GB2312" w:cs="仿宋_GB2312" w:eastAsia="仿宋_GB2312"/>
                <w:sz w:val="28"/>
              </w:rPr>
              <w:t xml:space="preserve">4.2生活自理能力训练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1）根据服务对象的需求和特点，制定适宜的培养与训练计划，并张贴在显著位置。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2）指导服务对象进行基本生活自理活动训练，使其能够自行洗漱、如厕、穿衣、吃饭等。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3）在模拟家庭环境和劳动环境中指导服务对象学习简单家务和劳动，使其能够在协助和指导下完成煮饭、拣择蔬菜、整理床铺、洗衣服、打扫卫生等活动。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4）应与服务对象的家属或监护人及时其沟通训练的内容和情况，以便提高服务对象生活自理能力。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5）可根据服务对象个体情况，设计适宜的训练课程，例如制作面食、馍、缝制衣物等，发掘其生活自理能力方面可能存在的其他潜力。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6）训练考评结果应记录存档，并依此调整或完善训练计划。 </w:t>
            </w:r>
          </w:p>
          <w:p>
            <w:pPr>
              <w:pStyle w:val="null3"/>
              <w:jc w:val="both"/>
            </w:pPr>
            <w:r>
              <w:rPr>
                <w:rFonts w:ascii="仿宋_GB2312" w:hAnsi="仿宋_GB2312" w:cs="仿宋_GB2312" w:eastAsia="仿宋_GB2312"/>
                <w:sz w:val="28"/>
              </w:rPr>
              <w:t xml:space="preserve">4.3社会适应能力辅导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1）参考《残疾人残疾分类和分级》国家标准中对智力和精神残疾人社会适应能力的描述和分级，为服务对象制定社会适应能力辅导计划。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2）以适当方式为服务对象普及简单的礼仪知识、两性知识等基本社会行为准则和常识。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3）每天与服务对象的交流时间应不少于15分钟，为服务对象提供日常心理疏导和心理健康关爱服务。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4）对心理和行为出现异常的服务对象进行关注，必要时为其提供康复服务。对于心理和行为出现极端异常、严重影响其他服务对象正常生活甚至人身安全的服务对象，应立即转介至专业医疗机构就诊。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5）为有需要的服务对象提供教育培训、图书阅览、上网和收看收听电视广播等服务，使其对社会具备一定的知晓度。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6）在机构内开展适宜的文化、体育、娱乐活动，可以根据实际情况组织比赛、展示或表演，使其具备基本的人际交往兴趣和能力。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7）指导服务对象在模拟超市、银行、医院、邮局、公共交通等简单社会场景中进行社会适应性训练，提高其参与社会生活的能力。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8）定期安排服务对象家属或监护人、志愿者到机构内进行活动，鼓励服务对象接待访客或外出参加社区或社会公益活动，逐步拓展其在直接参与社会生活方面的能力。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9）根据服务对象的社会适应能力的恢复和提升情况，适时调整社会适应辅导计划。 </w:t>
            </w:r>
          </w:p>
          <w:p>
            <w:pPr>
              <w:pStyle w:val="null3"/>
              <w:jc w:val="both"/>
            </w:pPr>
            <w:r>
              <w:rPr>
                <w:rFonts w:ascii="仿宋_GB2312" w:hAnsi="仿宋_GB2312" w:cs="仿宋_GB2312" w:eastAsia="仿宋_GB2312"/>
                <w:sz w:val="28"/>
              </w:rPr>
              <w:t xml:space="preserve">4.4职业康复与劳动技能训练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1）组织有需要的服务对象开展与其行为能力相适应的简单基本生产劳动。通过劳动帮助其活动肢体、锻炼大脑、集中注意力、协调手眼。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2）服务对象参与生产劳动之前，应根据个体实际情况对其进行必要的培训。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3）为有需要的服务对象提供职业指导、职业心理咨询、职业适应评定、职业康复训练、职业介绍等服务。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4）根据实际情况开设专业的劳动技能培训课程，开发服务对象的职业能力。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5）有条件的托养服务机构应开设庇护工场或与爱心企业等社会力量合作建立职业康复车间，使部分服务对象实现辅助性就业，获得一定的劳动收入。为条件适宜的服务对象提供支持性就业，进而实现社会性就业。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6）合理处理劳动生产成果和可能获得的收入。处理方式和处理结果应记录并存档。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7）有条件的托养服务机构宜定期组织技能展示、竞赛等相关活动。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8）定期开展身体功能评估和劳动能力评估，适时对服务对象的职业适应性进行测评和评价，及时调整职业康复与劳动技能训练计划。 </w:t>
            </w:r>
          </w:p>
          <w:p>
            <w:pPr>
              <w:pStyle w:val="null3"/>
              <w:jc w:val="both"/>
            </w:pPr>
            <w:r>
              <w:rPr>
                <w:rFonts w:ascii="仿宋_GB2312" w:hAnsi="仿宋_GB2312" w:cs="仿宋_GB2312" w:eastAsia="仿宋_GB2312"/>
                <w:sz w:val="28"/>
              </w:rPr>
              <w:t xml:space="preserve">4.5运动功能训练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1）为有需求的服务对象提供适当的以运动功能为主的训练，指导其规范使用矫形器和训练器具，帮助其巩固医疗康复效果，使其身体运动功能得到恢复或代偿。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2）有条件的托养服务机构应定期对服务对象的监护人进行必要的简单技术培训，对有健康需求的服务对象，提供康复训练，使其在机构之外也能够得到持续的运动功能训练。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3）根据服务对象的身体情况，开展运动功能评估，适时调整训练计划。 </w:t>
            </w:r>
          </w:p>
          <w:p>
            <w:pPr>
              <w:pStyle w:val="null3"/>
              <w:jc w:val="both"/>
            </w:pPr>
            <w:r>
              <w:rPr>
                <w:rFonts w:ascii="仿宋_GB2312" w:hAnsi="仿宋_GB2312" w:cs="仿宋_GB2312" w:eastAsia="仿宋_GB2312"/>
                <w:sz w:val="28"/>
              </w:rPr>
              <w:t>　　（</w:t>
            </w:r>
            <w:r>
              <w:rPr>
                <w:rFonts w:ascii="仿宋_GB2312" w:hAnsi="仿宋_GB2312" w:cs="仿宋_GB2312" w:eastAsia="仿宋_GB2312"/>
                <w:sz w:val="28"/>
              </w:rPr>
              <w:t xml:space="preserve">4）服务对象身体状况发生较大变化时，应及时转介到专业医疗康复机构进行诊断和治疗。 </w:t>
            </w:r>
          </w:p>
          <w:p>
            <w:pPr>
              <w:pStyle w:val="null3"/>
              <w:ind w:firstLine="560"/>
              <w:jc w:val="both"/>
            </w:pPr>
            <w:r>
              <w:rPr>
                <w:rFonts w:ascii="仿宋_GB2312" w:hAnsi="仿宋_GB2312" w:cs="仿宋_GB2312" w:eastAsia="仿宋_GB2312"/>
                <w:sz w:val="28"/>
              </w:rPr>
              <w:t>5、托养机构要求</w:t>
            </w:r>
          </w:p>
          <w:p>
            <w:pPr>
              <w:pStyle w:val="null3"/>
              <w:ind w:firstLine="560"/>
              <w:jc w:val="both"/>
            </w:pPr>
            <w:r>
              <w:rPr>
                <w:rFonts w:ascii="仿宋_GB2312" w:hAnsi="仿宋_GB2312" w:cs="仿宋_GB2312" w:eastAsia="仿宋_GB2312"/>
                <w:sz w:val="28"/>
              </w:rPr>
              <w:t>5.1.机构资质。应依法建立、合法运营，具有与其业务范围相适应的经营场所，审批与注册登记手续齐全；应有稳定的运营 资金保障，有完整的管理运行制度；应遵守有关国家法律法规， 执行残疾人托养相关规定，并自觉接受社会监督和业务主管部门 的管理；应保护服务对象的隐私，妥善保管其个人信息及资料。 可以依托符合条件的养老机构开展残疾人托养服务。</w:t>
            </w:r>
          </w:p>
          <w:p>
            <w:pPr>
              <w:pStyle w:val="null3"/>
              <w:ind w:firstLine="560"/>
              <w:jc w:val="both"/>
            </w:pPr>
            <w:r>
              <w:rPr>
                <w:rFonts w:ascii="仿宋_GB2312" w:hAnsi="仿宋_GB2312" w:cs="仿宋_GB2312" w:eastAsia="仿宋_GB2312"/>
                <w:sz w:val="28"/>
              </w:rPr>
              <w:t>5.2人员配备。机构应当配备专业管理人员、专职或兼职专业技术人员和能满足服务需求的工勤人员;从业人员应持有身份 证明、健康证明、对需持证上岗的岗位，应按照有关法律法规规 定持有有效的从业资格和职业资格证书；每年参加 1 次以上相关 专业培训。日间照料和集中托养机构服务人员与服务对象比例不 低于 1:7。</w:t>
            </w:r>
          </w:p>
          <w:p>
            <w:pPr>
              <w:pStyle w:val="null3"/>
              <w:ind w:firstLine="560"/>
              <w:jc w:val="both"/>
            </w:pPr>
            <w:r>
              <w:rPr>
                <w:rFonts w:ascii="仿宋_GB2312" w:hAnsi="仿宋_GB2312" w:cs="仿宋_GB2312" w:eastAsia="仿宋_GB2312"/>
                <w:sz w:val="28"/>
              </w:rPr>
              <w:t>5.3场地要求。集中托养服务机构房屋建筑质量安全、消防设施、无障碍环境应符合国家相关规定的要求。单人间 使用面积不少于 10 ㎡；合居型室人均可使用面积不小于 6 ㎡。</w:t>
            </w:r>
          </w:p>
          <w:p>
            <w:pPr>
              <w:pStyle w:val="null3"/>
              <w:ind w:firstLine="560"/>
              <w:jc w:val="both"/>
            </w:pPr>
            <w:r>
              <w:rPr>
                <w:rFonts w:ascii="仿宋_GB2312" w:hAnsi="仿宋_GB2312" w:cs="仿宋_GB2312" w:eastAsia="仿宋_GB2312"/>
                <w:sz w:val="28"/>
              </w:rPr>
              <w:t>5.4环境卫生。环境整洁、卫生，空气流通，采光充足;公共标识设置与无障碍设施符合相关规定。</w:t>
            </w:r>
          </w:p>
          <w:p>
            <w:pPr>
              <w:pStyle w:val="null3"/>
              <w:ind w:firstLine="560"/>
              <w:jc w:val="both"/>
            </w:pPr>
            <w:r>
              <w:rPr>
                <w:rFonts w:ascii="仿宋_GB2312" w:hAnsi="仿宋_GB2312" w:cs="仿宋_GB2312" w:eastAsia="仿宋_GB2312"/>
                <w:sz w:val="28"/>
              </w:rPr>
              <w:t>5.5设施设备。集中托养机构服务场所应装有空调或其他适用的取暖、降温设备，提供全天候热水供应;配备照明设备，公共区域设置应急照明灯；配备养护起居、护理保健和文体活动等基本设施，设备完好；配备远程监控安全管理和互联网云考勤管理设备。</w:t>
            </w:r>
          </w:p>
          <w:p>
            <w:pPr>
              <w:pStyle w:val="null3"/>
              <w:ind w:firstLine="560"/>
              <w:jc w:val="both"/>
            </w:pPr>
            <w:r>
              <w:rPr>
                <w:rFonts w:ascii="仿宋_GB2312" w:hAnsi="仿宋_GB2312" w:cs="仿宋_GB2312" w:eastAsia="仿宋_GB2312"/>
                <w:sz w:val="28"/>
              </w:rPr>
              <w:t>5.6制度管理。机构应当财务制度健全，凭证、账簿符合财 务规定；有项目独立台账,专款专用，有项目经费收支明细清单；有健全的接待、服务、投诉处理机制和服务回访等制度；有档案 管理和固定资产管理等制度；有日常安全管理、突发事件处理预 案制度；建立服务对象个人档案，包括个人基本情况、托养服务 协议书、健康情况、医疗记录、综合评估报告、个别化托养服务 方案、服务项目实施情况等基本内容；采取动态管理，建立服务 质量跟踪随访登记、服务满意率等档案；应当配合相关部门对资 金使用情况进行监督检查与绩效评价；机构应当按照合同约定提 供服务，涉及收费的项目，应当向服务对象(或监护人)告知收费 标准以及费用支付方式，并将相关收费项目、依据和标准等内容 予以公示，不得将服务项目转包给其他主体。</w:t>
            </w:r>
          </w:p>
          <w:p>
            <w:pPr>
              <w:pStyle w:val="null3"/>
              <w:jc w:val="left"/>
            </w:pPr>
            <w:r>
              <w:rPr>
                <w:rFonts w:ascii="仿宋_GB2312" w:hAnsi="仿宋_GB2312" w:cs="仿宋_GB2312" w:eastAsia="仿宋_GB2312"/>
                <w:sz w:val="30"/>
                <w:b/>
              </w:rPr>
              <w:t>五、商务要求</w:t>
            </w:r>
            <w:r>
              <w:rPr>
                <w:rFonts w:ascii="仿宋_GB2312" w:hAnsi="仿宋_GB2312" w:cs="仿宋_GB2312" w:eastAsia="仿宋_GB2312"/>
                <w:sz w:val="30"/>
                <w:b/>
              </w:rPr>
              <w:t>（如服务期限、款项结算等）</w:t>
            </w:r>
          </w:p>
          <w:p>
            <w:pPr>
              <w:pStyle w:val="null3"/>
              <w:ind w:firstLine="560"/>
              <w:jc w:val="both"/>
            </w:pPr>
            <w:r>
              <w:rPr>
                <w:rFonts w:ascii="仿宋_GB2312" w:hAnsi="仿宋_GB2312" w:cs="仿宋_GB2312" w:eastAsia="仿宋_GB2312"/>
                <w:sz w:val="28"/>
              </w:rPr>
              <w:t>一、服务期限及服务地点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服务期限：</w:t>
            </w:r>
            <w:r>
              <w:rPr>
                <w:rFonts w:ascii="仿宋_GB2312" w:hAnsi="仿宋_GB2312" w:cs="仿宋_GB2312" w:eastAsia="仿宋_GB2312"/>
                <w:sz w:val="28"/>
              </w:rPr>
              <w:t>自合同签订之日起</w:t>
            </w:r>
            <w:r>
              <w:rPr>
                <w:rFonts w:ascii="仿宋_GB2312" w:hAnsi="仿宋_GB2312" w:cs="仿宋_GB2312" w:eastAsia="仿宋_GB2312"/>
                <w:sz w:val="28"/>
              </w:rPr>
              <w:t>1年</w:t>
            </w:r>
          </w:p>
          <w:p>
            <w:pPr>
              <w:pStyle w:val="null3"/>
              <w:ind w:firstLine="560"/>
              <w:jc w:val="both"/>
            </w:pPr>
            <w:r>
              <w:rPr>
                <w:rFonts w:ascii="仿宋_GB2312" w:hAnsi="仿宋_GB2312" w:cs="仿宋_GB2312" w:eastAsia="仿宋_GB2312"/>
                <w:sz w:val="28"/>
              </w:rPr>
              <w:t>2、服务地点：采购方指定地点。</w:t>
            </w:r>
          </w:p>
          <w:p>
            <w:pPr>
              <w:pStyle w:val="null3"/>
              <w:ind w:firstLine="560"/>
              <w:jc w:val="both"/>
            </w:pPr>
            <w:r>
              <w:rPr>
                <w:rFonts w:ascii="仿宋_GB2312" w:hAnsi="仿宋_GB2312" w:cs="仿宋_GB2312" w:eastAsia="仿宋_GB2312"/>
                <w:sz w:val="28"/>
              </w:rPr>
              <w:t>二、付款方式</w:t>
            </w:r>
            <w:r>
              <w:rPr>
                <w:rFonts w:ascii="仿宋_GB2312" w:hAnsi="仿宋_GB2312" w:cs="仿宋_GB2312" w:eastAsia="仿宋_GB2312"/>
                <w:sz w:val="28"/>
              </w:rPr>
              <w:t>：成交单位与采购方自行协商确定。</w:t>
            </w:r>
          </w:p>
          <w:p>
            <w:pPr>
              <w:pStyle w:val="null3"/>
              <w:ind w:left="570"/>
              <w:jc w:val="both"/>
            </w:pPr>
            <w:r>
              <w:rPr>
                <w:rFonts w:ascii="仿宋_GB2312" w:hAnsi="仿宋_GB2312" w:cs="仿宋_GB2312" w:eastAsia="仿宋_GB2312"/>
                <w:sz w:val="28"/>
              </w:rPr>
              <w:t>三、项目验收：</w:t>
            </w:r>
          </w:p>
          <w:p>
            <w:pPr>
              <w:pStyle w:val="null3"/>
              <w:ind w:firstLine="548"/>
              <w:jc w:val="both"/>
            </w:pPr>
            <w:r>
              <w:rPr>
                <w:rFonts w:ascii="仿宋_GB2312" w:hAnsi="仿宋_GB2312" w:cs="仿宋_GB2312" w:eastAsia="仿宋_GB2312"/>
                <w:sz w:val="28"/>
              </w:rPr>
              <w:t>1.服务要有记录表，包括服务日期，开始时间，结束时间，影像资料，残疾人或其家 属的签名确认。</w:t>
            </w:r>
          </w:p>
          <w:p>
            <w:pPr>
              <w:pStyle w:val="null3"/>
              <w:ind w:firstLine="548"/>
              <w:jc w:val="both"/>
            </w:pPr>
            <w:r>
              <w:rPr>
                <w:rFonts w:ascii="仿宋_GB2312" w:hAnsi="仿宋_GB2312" w:cs="仿宋_GB2312" w:eastAsia="仿宋_GB2312"/>
                <w:sz w:val="28"/>
              </w:rPr>
              <w:t>2.服务满意率达到 90%以上</w:t>
            </w:r>
          </w:p>
          <w:p>
            <w:pPr>
              <w:pStyle w:val="null3"/>
              <w:ind w:firstLine="548"/>
              <w:jc w:val="both"/>
            </w:pPr>
            <w:r>
              <w:rPr>
                <w:rFonts w:ascii="仿宋_GB2312" w:hAnsi="仿宋_GB2312" w:cs="仿宋_GB2312" w:eastAsia="仿宋_GB2312"/>
                <w:sz w:val="28"/>
              </w:rPr>
              <w:t>3、验收依据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1）合同文本及合同补充文件（条款）。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2）磋商文件。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3）成交单位的磋商响应文件。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4）合同服务清单。</w:t>
            </w:r>
          </w:p>
          <w:p>
            <w:pPr>
              <w:pStyle w:val="null3"/>
              <w:ind w:firstLine="560"/>
              <w:jc w:val="both"/>
            </w:pPr>
            <w:r>
              <w:rPr>
                <w:rFonts w:ascii="仿宋_GB2312" w:hAnsi="仿宋_GB2312" w:cs="仿宋_GB2312" w:eastAsia="仿宋_GB2312"/>
                <w:sz w:val="28"/>
              </w:rPr>
              <w:t>四、合同实施</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、成交单位应在合同签订后</w:t>
            </w:r>
            <w:r>
              <w:rPr>
                <w:rFonts w:ascii="仿宋_GB2312" w:hAnsi="仿宋_GB2312" w:cs="仿宋_GB2312" w:eastAsia="仿宋_GB2312"/>
                <w:sz w:val="28"/>
              </w:rPr>
              <w:t>7个日历日内安排人员（项目组成人员简历表所列）与采购人就此项目等一系列工作进行安排、部署。</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、若未能在服务期限内完成合同规定的义务，由此对采购人造成的延误和一切损失，由成交单位承担和赔偿。</w:t>
            </w:r>
          </w:p>
          <w:p>
            <w:pPr>
              <w:pStyle w:val="null3"/>
              <w:ind w:firstLine="560"/>
              <w:jc w:val="both"/>
            </w:pPr>
            <w:r>
              <w:rPr>
                <w:rFonts w:ascii="仿宋_GB2312" w:hAnsi="仿宋_GB2312" w:cs="仿宋_GB2312" w:eastAsia="仿宋_GB2312"/>
                <w:sz w:val="28"/>
              </w:rPr>
              <w:t>五、违约责任</w:t>
            </w:r>
          </w:p>
          <w:p>
            <w:pPr>
              <w:pStyle w:val="null3"/>
              <w:ind w:firstLine="560"/>
              <w:jc w:val="both"/>
            </w:pPr>
            <w:r>
              <w:rPr>
                <w:rFonts w:ascii="仿宋_GB2312" w:hAnsi="仿宋_GB2312" w:cs="仿宋_GB2312" w:eastAsia="仿宋_GB2312"/>
                <w:sz w:val="28"/>
              </w:rPr>
              <w:t>1.按《民法典》中的相关条款执行。</w:t>
            </w:r>
          </w:p>
          <w:p>
            <w:pPr>
              <w:pStyle w:val="null3"/>
              <w:ind w:left="555"/>
              <w:jc w:val="both"/>
            </w:pPr>
            <w:r>
              <w:rPr>
                <w:rFonts w:ascii="仿宋_GB2312" w:hAnsi="仿宋_GB2312" w:cs="仿宋_GB2312" w:eastAsia="仿宋_GB2312"/>
                <w:sz w:val="28"/>
              </w:rPr>
              <w:t>2.乙方履约延误</w:t>
            </w:r>
          </w:p>
          <w:p>
            <w:pPr>
              <w:pStyle w:val="null3"/>
              <w:ind w:firstLine="560"/>
              <w:jc w:val="both"/>
            </w:pPr>
            <w:r>
              <w:rPr>
                <w:rFonts w:ascii="仿宋_GB2312" w:hAnsi="仿宋_GB2312" w:cs="仿宋_GB2312" w:eastAsia="仿宋_GB2312"/>
                <w:sz w:val="28"/>
              </w:rPr>
              <w:t>2-1.如乙方事先未征得甲方同意并得到甲方的谅解而单方面延迟服务期限，将按违约 终止合同。</w:t>
            </w:r>
          </w:p>
          <w:p>
            <w:pPr>
              <w:pStyle w:val="null3"/>
              <w:ind w:firstLine="560"/>
              <w:jc w:val="both"/>
            </w:pPr>
            <w:r>
              <w:rPr>
                <w:rFonts w:ascii="仿宋_GB2312" w:hAnsi="仿宋_GB2312" w:cs="仿宋_GB2312" w:eastAsia="仿宋_GB2312"/>
                <w:sz w:val="28"/>
              </w:rPr>
              <w:t>2-2.在履行合同过程中，如果乙方遇到可能妨碍按时提供服务的情况，应及时以书面 形式将拖延的事实，可能拖延的期限和理由通知甲方。甲方在收到乙方通知后，应尽快对 情况进行评价，并确定是否通过修改合同，酌情延长服务时间或对乙方加收误期赔偿金。 每延误一周的赔偿费按迟交或未提供服务的服务费用的百分之零点五（0.5%）计收，直至 提供服务为止。误期赔偿费的最高限额为合同价格的百分之五（5%）。一旦达到误期赔偿 费的最高限额，甲方可终止合同。</w:t>
            </w:r>
          </w:p>
          <w:p>
            <w:pPr>
              <w:pStyle w:val="null3"/>
              <w:ind w:firstLine="560"/>
              <w:jc w:val="both"/>
            </w:pPr>
            <w:r>
              <w:rPr>
                <w:rFonts w:ascii="仿宋_GB2312" w:hAnsi="仿宋_GB2312" w:cs="仿宋_GB2312" w:eastAsia="仿宋_GB2312"/>
                <w:sz w:val="28"/>
              </w:rPr>
              <w:t>3.违约终止合同：未按合同要求提供服务，甲方会同监督机构有权终止合同，对乙方 违约行为进行追究，同时按政府采购法的有关规定进行相应的处罚</w:t>
            </w:r>
          </w:p>
          <w:p>
            <w:pPr>
              <w:pStyle w:val="null3"/>
              <w:ind w:left="555"/>
              <w:jc w:val="both"/>
            </w:pPr>
            <w:r>
              <w:rPr>
                <w:rFonts w:ascii="仿宋_GB2312" w:hAnsi="仿宋_GB2312" w:cs="仿宋_GB2312" w:eastAsia="仿宋_GB2312"/>
                <w:sz w:val="28"/>
                <w:b/>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项目实施结束后，经甲方验收合格一次性付清全部服务费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 七十七条中的相关条款执行。未按合同或磋商文件要求提供的产品或者服务，质量不能满足采购人技术要求，采购单位有权终 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 , 提供合法有效的（三证合一）统一社会信用代码的营业执照（复印件加盖供应商 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法定代表人直接磋商须提交法定代表人身份证明书及其身份证原件，法定代表人授 权代表参加磋商的，须出具授权书及被授权人身份证（原件）；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年或2024年度经审计的财务报告（包括三表一注，成立时间至提交磋 商响应文件截止时间不足一年的可提供成立后任意时段的资产负债表），或其开标 前三个月内基本存款账户开户银行出具的资信证明，或信用担保机构出具的投标担 保函。（以上三种形式的资料提供任何一种即可）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磋商文件提交截止时间前近六个月内至少一个月的完税凭证或税务机关开具的完税 证明 (任意税种)；依法免税的应提供相关文件证明；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磋商文件提交截止时间前近六个月内至少一个月的社会保障资金缴存证明或社保机 构开具的社会保险参保缴费情况证明；依法不需要缴纳社会保障资金的应提供相关 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 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 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提供磋商时限内“信用中国”(www.creditchina.gov.cn)网站生成的带 水印信用报 告及中国政府采购网(www.ccgp.gov.cn)查询截图中，无严重失信记录；（民办 非企业单位提供信用承诺函。对列入失信被执行人、重大税收违法案件当事人名单 、政府采购严重违法失信行为记录名单及其他不符合《中华人民共和国政府采购法 》第二十二条规定条件的，招标代理机构将拒绝其参与政府采购活动）（加盖供应 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 联关系（提供承诺书）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磋商响应文件封面、磋商响应函两 处的项目名称</w:t>
            </w:r>
          </w:p>
        </w:tc>
        <w:tc>
          <w:tcPr>
            <w:tcW w:type="dxa" w:w="3322"/>
          </w:tcPr>
          <w:p>
            <w:pPr>
              <w:pStyle w:val="null3"/>
            </w:pPr>
            <w:r>
              <w:rPr>
                <w:rFonts w:ascii="仿宋_GB2312" w:hAnsi="仿宋_GB2312" w:cs="仿宋_GB2312" w:eastAsia="仿宋_GB2312"/>
              </w:rPr>
              <w:t>两处均无遗漏，且与磋商项目名称完全一致。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磋商响应文件的计量单位、语言、 报价货币、磋商有效期</w:t>
            </w:r>
          </w:p>
        </w:tc>
        <w:tc>
          <w:tcPr>
            <w:tcW w:type="dxa" w:w="3322"/>
          </w:tcPr>
          <w:p>
            <w:pPr>
              <w:pStyle w:val="null3"/>
            </w:pPr>
            <w:r>
              <w:rPr>
                <w:rFonts w:ascii="仿宋_GB2312" w:hAnsi="仿宋_GB2312" w:cs="仿宋_GB2312" w:eastAsia="仿宋_GB2312"/>
              </w:rPr>
              <w:t>计量单位、语言、报价货币、磋商有效期均符 合磋商文件的要求。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按照磋商文件格式编写，无缺漏项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项目理解及现状分析</w:t>
            </w:r>
          </w:p>
        </w:tc>
        <w:tc>
          <w:tcPr>
            <w:tcW w:type="dxa" w:w="2492"/>
          </w:tcPr>
          <w:p>
            <w:pPr>
              <w:pStyle w:val="null3"/>
            </w:pPr>
            <w:r>
              <w:rPr>
                <w:rFonts w:ascii="仿宋_GB2312" w:hAnsi="仿宋_GB2312" w:cs="仿宋_GB2312" w:eastAsia="仿宋_GB2312"/>
              </w:rPr>
              <w:t>供应商提供对项目背景以及服务目标的总体理解与认识。 对项目背景、服务目标的认识准确，理解程度高得 10 分； 对项目背景、服务目标的认识较为准确，理解程度较高，得 9 分； 对项目背景、服务目标的认识相对准确，理解程度相对到位，得 8 分； 对项目背景、服务目标的认识基本准确，理解程度基本到位，得 7 分； 对项目背景、服务目标的认识一般，理解程度一般，得 6 分； 对项目背景、服务目标的认识模糊、笼统，理解程度有偏差，得 5 分； 对项目背景、服务目标的认识相对不足，得 4 分； 对项目背景、服务目标的认识有欠缺，得 3 分； 对项目背景、服务目标的认识有较大不足，得 2 分； 对项目背景、服务目标的认识有严重错误，得 1 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针对本项目的特点提供详细的项目实施方案（包括但不限于膳食、保洁、 护理、体检、陪护及其他服务）。 每一项均有详细且针对性的说明计 10 分； 每缺项一个内容的描述扣 2 分； 以上内容仅有描述但不够完善的，每有一项扣 1 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针对本项目具有详尽的工作安排及完善的服务承诺， 工作安排详尽、切实、可行，服务承诺完善得 6 分； 工作安排比较详尽，可操作性较强，服务承诺比较合理得 5 分； 工作安排基本合理，有一定的可操作性，服务承诺基本合理得 4 分； 工作安排基本合理，有可操作性，服务承诺基本合理得 3 分； 工作安排不够合理，操作性有缺陷，服务承诺不够合理得 2 分； 工作安排不到位，可操作性差，服务承诺不合理得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管理团队成员</w:t>
            </w:r>
          </w:p>
        </w:tc>
        <w:tc>
          <w:tcPr>
            <w:tcW w:type="dxa" w:w="2492"/>
          </w:tcPr>
          <w:p>
            <w:pPr>
              <w:pStyle w:val="null3"/>
            </w:pPr>
            <w:r>
              <w:rPr>
                <w:rFonts w:ascii="仿宋_GB2312" w:hAnsi="仿宋_GB2312" w:cs="仿宋_GB2312" w:eastAsia="仿宋_GB2312"/>
              </w:rPr>
              <w:t>项目管理团队中有至少一位成员持营养师资格证书的，得 2 分；有至少 一位成员持护士资格证书（护理类）的，得 2 分；有至少一位成员持医 师资格证书的，得 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项目团队人员结构</w:t>
            </w:r>
          </w:p>
        </w:tc>
        <w:tc>
          <w:tcPr>
            <w:tcW w:type="dxa" w:w="2492"/>
          </w:tcPr>
          <w:p>
            <w:pPr>
              <w:pStyle w:val="null3"/>
            </w:pPr>
            <w:r>
              <w:rPr>
                <w:rFonts w:ascii="仿宋_GB2312" w:hAnsi="仿宋_GB2312" w:cs="仿宋_GB2312" w:eastAsia="仿宋_GB2312"/>
              </w:rPr>
              <w:t>针对本项目拟投入项目管理团队组成人员结构合理，人员配备齐全，管 理人员经验丰富，能够完全满足项目的需求，得 6 分； 针对本项目拟投入项目管理团队组成人员结构比较合理，人员配备比较 齐全，管理人员经验比较丰富，得 5 分； 针对本项目拟投入项目管理团队组成人员结构基本合理，人员配备基本 齐全，管理人员有一定的经验，得 4 分； 针对本项目拟投入项目管理团队组成人员结构合理性一般，人员配备不足，管理人员经验一般，得 3 分； 针对本项目拟投入项目管理团队组成人员结构合理性一般，人员配备不 足，管理人员经验不足，得 2 分； 针对本项目拟投入项目经理部组成人员结构不够合理，人员配备缺失严 重 ， 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针对托养人员及服务人员的安全具有良好的保障措施，且得当可行。 安全保障措施严密、科学、有效，得 8 分； 安全保障措施比较严密、科学、有效，得 7 分； 安全保障措施相对严密、科学、有效，得 6 分； 安全保障措施基本科学、有效，得 5 分； 安全保障措施科学性、有效性一般，得 4 分； 安全保障措施存在不足，得 3 分； 安全保障措施较差，得 2 分； 安全保障措施表述有严重错误，不能满足本项目要求得 1 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针对本项目制定完整的管理制度，包括但不限于财务、档案、环境卫 生、膳食管理、生产经营、安全责任、安全保卫等制度等方面： 每一项均有详细且针对性的说明计 12 分； 每缺项一个制度扣 2 分； 以上制度仅有描述但不够完善的，每有一项扣 1 分； 未提供相关内容不得分。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根据本项目的的难点、重点进行分析并提出控制措施， 分析内容准确，控制措施合理得 6 分； 分析内容比较准确，控制措施比较合理得 5 分； 分析内容基本准确，控制措施基本合理得 4 分； 分析内容和控制措施较简单得 3 分； 分析内容和控制措施有轻微漏项得 2 分； 分析内容和控制措施简陋，无指导性得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结合本项目实际情况，针对食品卫生、营养搭配、分级护理、医疗保 健、心理保障、其他服务等有详细完整的服务质量保证措施， 每一项均有详细且针对性的说明计10 分； 每缺项一个内容的描述扣 2 分； 以上内容仅有描述但不够完善的，每有一项扣 1 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具有科学、合理、可行的保密措施，保证采购人的涉密信息不被泄漏， 保密措施完整、合理，可操作性强得 6 分； 保密措施比较完整，可操作性较强得 5 分； 保密措施基本完整，有一定可操作性得 4 分； 保密措施基本完整，具有可操作性得 3 分； 保密措施简略，可操作性一般得 2 分； 保密措施不够完整，可操作性差得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针对本项目实际需求，提供实质性的合理化建议。 建议内容科学可行，针对性强，得5分； 建议内容较为可行，针对性较强，4分； 建议内容较为可行，有一定的针对性，得 3分； 建议内容相对可行，有针对性，2分； 建议内容基本可行，针对性一般，得 0.5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供应商应在投标文件中提供该供应商自 2022年4月 1 日起至今具有实体 养老机构或特困人员托养的服务经验或运营养老服务设施经历，能提供 相关运营案例或证明。每提供一份得 2.5分，满分为 5 分，不得重复累 计。</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 格 分</w:t>
            </w:r>
          </w:p>
        </w:tc>
        <w:tc>
          <w:tcPr>
            <w:tcW w:type="dxa" w:w="2492"/>
          </w:tcPr>
          <w:p>
            <w:pPr>
              <w:pStyle w:val="null3"/>
            </w:pPr>
            <w:r>
              <w:rPr>
                <w:rFonts w:ascii="仿宋_GB2312" w:hAnsi="仿宋_GB2312" w:cs="仿宋_GB2312" w:eastAsia="仿宋_GB2312"/>
              </w:rPr>
              <w:t>以最终磋商总报价进行评审。 1.最 低评审价为评审基准价，得10分。 2.按（评审基 准 价/评审价×10）的 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