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版本号：DCZX2025-ZCCS-GC101820250427002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玉山镇闫河村损毁道路修复项目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DCZX2025-ZCCS-GC1018</w:t>
      </w:r>
      <w:r>
        <w:br/>
      </w:r>
      <w:r>
        <w:br/>
      </w:r>
      <w:r>
        <w:br/>
      </w:r>
    </w:p>
    <w:p>
      <w:pPr>
        <w:pStyle w:val="null3"/>
        <w:jc w:val="center"/>
        <w:outlineLvl w:val="2"/>
      </w:pPr>
      <w:r>
        <w:rPr>
          <w:rFonts w:ascii="仿宋_GB2312" w:hAnsi="仿宋_GB2312" w:cs="仿宋_GB2312" w:eastAsia="仿宋_GB2312"/>
          <w:sz w:val="28"/>
          <w:b/>
        </w:rPr>
        <w:t>西安市蓝田县玉山镇人民政府（本级）</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西安市蓝田县玉山镇人民政府（本级）</w:t>
      </w:r>
      <w:r>
        <w:rPr>
          <w:rFonts w:ascii="仿宋_GB2312" w:hAnsi="仿宋_GB2312" w:cs="仿宋_GB2312" w:eastAsia="仿宋_GB2312"/>
        </w:rPr>
        <w:t>委托，拟对</w:t>
      </w:r>
      <w:r>
        <w:rPr>
          <w:rFonts w:ascii="仿宋_GB2312" w:hAnsi="仿宋_GB2312" w:cs="仿宋_GB2312" w:eastAsia="仿宋_GB2312"/>
        </w:rPr>
        <w:t>玉山镇闫河村损毁道路修复项目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DCZX2025-ZCCS-GC1018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玉山镇闫河村损毁道路修复项目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玉山镇闫河村损毁道路修复项目施工图纸范围内工程项目内容，范围包括:道路工程、排水沟工程、防护工程等、混凝土路面等。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采购包1（玉山镇闫河村损毁道路修复项目）：属于专门面向中小企业采购。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投标供应商拟派项目经理须具备行业主管部门颁发的市政公用工程专业二级及以上建造师资质及有效的安全生产考核合格证书（建安B证），在本单位注册且无在建工程（提供承诺）；</w:t>
      </w:r>
    </w:p>
    <w:p>
      <w:pPr>
        <w:pStyle w:val="null3"/>
      </w:pPr>
      <w:r>
        <w:rPr>
          <w:rFonts w:ascii="仿宋_GB2312" w:hAnsi="仿宋_GB2312" w:cs="仿宋_GB2312" w:eastAsia="仿宋_GB2312"/>
        </w:rPr>
        <w:t>2、企业资质：投标供应商须具备行业主管部门颁发的市政公用工程施工总承包三级及以上资质并具有有效的安全生产许可证；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3、身份证明：法定代表人授权书（法定代表人直接参加磋商，须提供法定代表人身份证明）</w:t>
      </w:r>
    </w:p>
    <w:p>
      <w:pPr>
        <w:pStyle w:val="null3"/>
      </w:pPr>
      <w:r>
        <w:rPr>
          <w:rFonts w:ascii="仿宋_GB2312" w:hAnsi="仿宋_GB2312" w:cs="仿宋_GB2312" w:eastAsia="仿宋_GB2312"/>
        </w:rPr>
        <w:t>4、投标供应商基本信息及项目经理基本信息：投标供应商基本信息及项目经理基本信息应在“陕西建设网（http://js.shaanxi.gov.cn/）或陕西省建筑市场监管与诚信信息发布平台”可查询；</w:t>
      </w:r>
    </w:p>
    <w:p>
      <w:pPr>
        <w:pStyle w:val="null3"/>
      </w:pPr>
      <w:r>
        <w:rPr>
          <w:rFonts w:ascii="仿宋_GB2312" w:hAnsi="仿宋_GB2312" w:cs="仿宋_GB2312" w:eastAsia="仿宋_GB2312"/>
        </w:rPr>
        <w:t>5、承诺书：投标供应商不得在各级诚信信息平台被列为投标受限制的行为人（提供承诺）；</w:t>
      </w:r>
    </w:p>
    <w:p>
      <w:pPr>
        <w:pStyle w:val="null3"/>
      </w:pPr>
      <w:r>
        <w:rPr>
          <w:rFonts w:ascii="仿宋_GB2312" w:hAnsi="仿宋_GB2312" w:cs="仿宋_GB2312" w:eastAsia="仿宋_GB2312"/>
        </w:rPr>
        <w:t>6、信用信息：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7、中小企业声明函：本项目专门面向中小企业采购，仅限符合《政府采购促进中小企业发展管理办法》的通知(财库〔2020〕46 号) 条件的中小企业参与，并提供中小企业声明函，残疾人福利企业、监狱企业视同小微企业。</w:t>
      </w:r>
    </w:p>
    <w:p>
      <w:pPr>
        <w:pStyle w:val="null3"/>
      </w:pPr>
      <w:r>
        <w:rPr>
          <w:rFonts w:ascii="仿宋_GB2312" w:hAnsi="仿宋_GB2312" w:cs="仿宋_GB2312" w:eastAsia="仿宋_GB2312"/>
        </w:rPr>
        <w:t>8、非联合体声明：本项目不接受联合体投标；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西安市蓝田县玉山镇人民政府（本级）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陕西省西安市蓝田县玉山镇政府街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029-82955103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开户名称：陕西鼎成项目管理咨询有限公司 开户银行：中国民生银行西安枫林绿洲支行 账号：171277297 （备注：项目名称+项目编号） 3、领取成交通知书前，需提供与电子版一致的响应文件，胶装成册。4、成交供应商在领取成交通知书时须携带法定代表人授权书及加盖单位公章的被授权人身份证复印件，并携带身份证原件。</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西安市蓝田县玉山镇人民政府（本级）</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西安市蓝田县玉山镇人民政府（本级）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西安市蓝田县玉山镇人民政府（本级）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999,894.86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损毁道路修复</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标的名称：损毁道路修复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一、计划工期</w:t>
            </w:r>
          </w:p>
          <w:p>
            <w:pPr>
              <w:pStyle w:val="null3"/>
              <w:jc w:val="both"/>
            </w:pPr>
            <w:r>
              <w:rPr>
                <w:rFonts w:ascii="仿宋_GB2312" w:hAnsi="仿宋_GB2312" w:cs="仿宋_GB2312" w:eastAsia="仿宋_GB2312"/>
                <w:sz w:val="24"/>
              </w:rPr>
              <w:t>自合同签订之日起</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45</w:t>
            </w:r>
            <w:r>
              <w:rPr>
                <w:rFonts w:ascii="仿宋_GB2312" w:hAnsi="仿宋_GB2312" w:cs="仿宋_GB2312" w:eastAsia="仿宋_GB2312"/>
                <w:sz w:val="24"/>
              </w:rPr>
              <w:t>日历天。</w:t>
            </w:r>
          </w:p>
          <w:p>
            <w:pPr>
              <w:pStyle w:val="null3"/>
              <w:jc w:val="both"/>
            </w:pPr>
            <w:r>
              <w:rPr>
                <w:rFonts w:ascii="仿宋_GB2312" w:hAnsi="仿宋_GB2312" w:cs="仿宋_GB2312" w:eastAsia="仿宋_GB2312"/>
                <w:sz w:val="24"/>
                <w:b/>
              </w:rPr>
              <w:t>二、质保期：</w:t>
            </w:r>
          </w:p>
          <w:p>
            <w:pPr>
              <w:pStyle w:val="null3"/>
              <w:jc w:val="both"/>
            </w:pPr>
            <w:r>
              <w:rPr>
                <w:rFonts w:ascii="仿宋_GB2312" w:hAnsi="仿宋_GB2312" w:cs="仿宋_GB2312" w:eastAsia="仿宋_GB2312"/>
                <w:sz w:val="24"/>
              </w:rPr>
              <w:t>1年。</w:t>
            </w:r>
          </w:p>
          <w:p>
            <w:pPr>
              <w:pStyle w:val="null3"/>
              <w:jc w:val="both"/>
            </w:pPr>
            <w:r>
              <w:rPr>
                <w:rFonts w:ascii="仿宋_GB2312" w:hAnsi="仿宋_GB2312" w:cs="仿宋_GB2312" w:eastAsia="仿宋_GB2312"/>
                <w:sz w:val="24"/>
                <w:b/>
              </w:rPr>
              <w:t>三、缺陷责任期：</w:t>
            </w:r>
          </w:p>
          <w:p>
            <w:pPr>
              <w:pStyle w:val="null3"/>
              <w:jc w:val="both"/>
            </w:pPr>
            <w:r>
              <w:rPr>
                <w:rFonts w:ascii="仿宋_GB2312" w:hAnsi="仿宋_GB2312" w:cs="仿宋_GB2312" w:eastAsia="仿宋_GB2312"/>
                <w:sz w:val="24"/>
              </w:rPr>
              <w:t>自竣工验收之日起</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1 </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b/>
              </w:rPr>
              <w:t>四、付款条件及比例：</w:t>
            </w:r>
          </w:p>
          <w:p>
            <w:pPr>
              <w:pStyle w:val="null3"/>
              <w:jc w:val="left"/>
            </w:pPr>
            <w:r>
              <w:rPr>
                <w:rFonts w:ascii="仿宋_GB2312" w:hAnsi="仿宋_GB2312" w:cs="仿宋_GB2312" w:eastAsia="仿宋_GB2312"/>
                <w:sz w:val="24"/>
              </w:rPr>
              <w:t>1、合同签订后，甲方向乙方支付合同价款的40%作为预付款。</w:t>
            </w:r>
          </w:p>
          <w:p>
            <w:pPr>
              <w:pStyle w:val="null3"/>
              <w:jc w:val="left"/>
            </w:pPr>
            <w:r>
              <w:rPr>
                <w:rFonts w:ascii="仿宋_GB2312" w:hAnsi="仿宋_GB2312" w:cs="仿宋_GB2312" w:eastAsia="仿宋_GB2312"/>
                <w:sz w:val="24"/>
              </w:rPr>
              <w:t>2、乙方完成合同工程量65%时，甲方向乙方支付至合同总价款的65%作为工程进度款。</w:t>
            </w:r>
          </w:p>
          <w:p>
            <w:pPr>
              <w:pStyle w:val="null3"/>
              <w:jc w:val="left"/>
            </w:pPr>
            <w:r>
              <w:rPr>
                <w:rFonts w:ascii="仿宋_GB2312" w:hAnsi="仿宋_GB2312" w:cs="仿宋_GB2312" w:eastAsia="仿宋_GB2312"/>
                <w:sz w:val="24"/>
              </w:rPr>
              <w:t>3、乙方完成全部工程量时，经甲方组织有关部门验收合格后，支付至合同总价款的85%。</w:t>
            </w:r>
          </w:p>
          <w:p>
            <w:pPr>
              <w:pStyle w:val="null3"/>
              <w:jc w:val="both"/>
            </w:pPr>
            <w:r>
              <w:rPr>
                <w:rFonts w:ascii="仿宋_GB2312" w:hAnsi="仿宋_GB2312" w:cs="仿宋_GB2312" w:eastAsia="仿宋_GB2312"/>
                <w:sz w:val="24"/>
              </w:rPr>
              <w:t>4、经政府相关审计部门审计完成后，支付至审计结算价款的100%。</w:t>
            </w:r>
          </w:p>
          <w:p>
            <w:pPr>
              <w:pStyle w:val="null3"/>
              <w:jc w:val="left"/>
            </w:pPr>
            <w:r>
              <w:rPr>
                <w:rFonts w:ascii="仿宋_GB2312" w:hAnsi="仿宋_GB2312" w:cs="仿宋_GB2312" w:eastAsia="仿宋_GB2312"/>
                <w:sz w:val="24"/>
                <w:b/>
              </w:rPr>
              <w:t>五、质量要求</w:t>
            </w:r>
          </w:p>
          <w:p>
            <w:pPr>
              <w:pStyle w:val="null3"/>
              <w:jc w:val="left"/>
            </w:pPr>
            <w:r>
              <w:rPr>
                <w:rFonts w:ascii="仿宋_GB2312" w:hAnsi="仿宋_GB2312" w:cs="仿宋_GB2312" w:eastAsia="仿宋_GB2312"/>
                <w:sz w:val="24"/>
              </w:rPr>
              <w:t>达到国家现行行业施工验收规范</w:t>
            </w:r>
            <w:r>
              <w:rPr>
                <w:rFonts w:ascii="仿宋_GB2312" w:hAnsi="仿宋_GB2312" w:cs="仿宋_GB2312" w:eastAsia="仿宋_GB2312"/>
                <w:sz w:val="24"/>
              </w:rPr>
              <w:t>“合格”标准。</w:t>
            </w:r>
          </w:p>
          <w:p>
            <w:pPr>
              <w:pStyle w:val="null3"/>
              <w:jc w:val="left"/>
            </w:pPr>
            <w:r>
              <w:rPr>
                <w:rFonts w:ascii="仿宋_GB2312" w:hAnsi="仿宋_GB2312" w:cs="仿宋_GB2312" w:eastAsia="仿宋_GB2312"/>
                <w:sz w:val="24"/>
                <w:b/>
              </w:rPr>
              <w:t>六、合同定价方式</w:t>
            </w:r>
          </w:p>
          <w:p>
            <w:pPr>
              <w:pStyle w:val="null3"/>
              <w:jc w:val="both"/>
            </w:pPr>
            <w:r>
              <w:rPr>
                <w:rFonts w:ascii="仿宋_GB2312" w:hAnsi="仿宋_GB2312" w:cs="仿宋_GB2312" w:eastAsia="仿宋_GB2312"/>
                <w:sz w:val="24"/>
              </w:rPr>
              <w:t>本合同价款采用</w:t>
            </w:r>
            <w:r>
              <w:rPr>
                <w:rFonts w:ascii="仿宋_GB2312" w:hAnsi="仿宋_GB2312" w:cs="仿宋_GB2312" w:eastAsia="仿宋_GB2312"/>
                <w:sz w:val="21"/>
                <w:u w:val="single"/>
              </w:rPr>
              <w:t xml:space="preserve"> </w:t>
            </w:r>
            <w:r>
              <w:rPr>
                <w:rFonts w:ascii="仿宋_GB2312" w:hAnsi="仿宋_GB2312" w:cs="仿宋_GB2312" w:eastAsia="仿宋_GB2312"/>
                <w:sz w:val="24"/>
                <w:u w:val="single"/>
              </w:rPr>
              <w:t>（</w:t>
            </w:r>
            <w:r>
              <w:rPr>
                <w:rFonts w:ascii="仿宋_GB2312" w:hAnsi="仿宋_GB2312" w:cs="仿宋_GB2312" w:eastAsia="仿宋_GB2312"/>
                <w:sz w:val="24"/>
                <w:b/>
                <w:u w:val="single"/>
              </w:rPr>
              <w:t>固定</w:t>
            </w:r>
            <w:r>
              <w:rPr>
                <w:rFonts w:ascii="仿宋_GB2312" w:hAnsi="仿宋_GB2312" w:cs="仿宋_GB2312" w:eastAsia="仿宋_GB2312"/>
                <w:sz w:val="24"/>
                <w:b/>
                <w:u w:val="single"/>
              </w:rPr>
              <w:t>总价</w:t>
            </w:r>
            <w:r>
              <w:rPr>
                <w:rFonts w:ascii="仿宋_GB2312" w:hAnsi="仿宋_GB2312" w:cs="仿宋_GB2312" w:eastAsia="仿宋_GB2312"/>
                <w:sz w:val="24"/>
                <w:u w:val="single"/>
              </w:rPr>
              <w:t>）</w:t>
            </w:r>
            <w:r>
              <w:rPr>
                <w:rFonts w:ascii="仿宋_GB2312" w:hAnsi="仿宋_GB2312" w:cs="仿宋_GB2312" w:eastAsia="仿宋_GB2312"/>
                <w:sz w:val="21"/>
                <w:u w:val="single"/>
              </w:rPr>
              <w:t xml:space="preserve"> </w:t>
            </w:r>
            <w:r>
              <w:rPr>
                <w:rFonts w:ascii="仿宋_GB2312" w:hAnsi="仿宋_GB2312" w:cs="仿宋_GB2312" w:eastAsia="仿宋_GB2312"/>
                <w:sz w:val="24"/>
              </w:rPr>
              <w:t>方式确定</w:t>
            </w:r>
            <w:r>
              <w:rPr>
                <w:rFonts w:ascii="仿宋_GB2312" w:hAnsi="仿宋_GB2312" w:cs="仿宋_GB2312" w:eastAsia="仿宋_GB2312"/>
                <w:sz w:val="24"/>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竞争性磋商文件第六章6.3.4：“（五）若采用项目包干价的，供应商直接给出其完成本项目全部工作内容所需的总价，不再提供已标价工程量清单（报价格式要求见第六章）。”为系统自动生成内容，无法更改，本项目需要提供已标价工程量清单。 （3）“若供应商的最后报价只有一个总价，则供应商应当提交相应调整部分的报价构成及明细，并结合首次报价提供的已标价工程量清单，重新计算总报价。”为系统自动生成，无法更改，本项目二次报价只需填报项目总报价。 （4）本项目不统一组织踏勘。各投标供应商可自行前往采购人处实地踏勘，相关费用及安全由供应商自行承担。凡因对本项目现场及环境、市场行情等了解不清而造成的后果和风险，或因供应商对竞争性磋商文件阅读疏忽或误解，均由供应商负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（2）提供2023或2024年度经审计的财务报告（成立时间至提交磋商响应文件截止时间不足一年的可提供成立后任意时段的资产负债表），或磋商响应文件递交截止日前六个月内银行出具的资信证明； (3)提供磋商响应文件递交截止日前一年内已缴存的至少一个月的社会保障资金缴存单据或社保机构开具的社会保险参保缴费情况证明，依法不需要缴纳社会保障资金的单位应提供相关证明材料； (4)提供磋商响应文件递交截止日前一年内已缴纳的至少一个月的纳税证明或完税证明，依法免税的单位应提供相关证明材料；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提供2023或2024年度经审计的财务报告（成立时间至提交磋商响应文件截止时间不足一年的可提供成立后任意时段的资产负债表），或磋商响应文件递交截止日前六个月内银行出具的资信证明。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投标供应商拟派项目经理须具备行业主管部门颁发的市政公用工程专业二级及以上建造师资质及有效的安全生产考核合格证书（建安B证），在本单位注册且无在建工程（提供承诺）；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投标供应商基本信息及项目经理基本信息</w:t>
            </w:r>
          </w:p>
        </w:tc>
        <w:tc>
          <w:tcPr>
            <w:tcW w:type="dxa" w:w="3322"/>
          </w:tcPr>
          <w:p>
            <w:pPr>
              <w:pStyle w:val="null3"/>
            </w:pPr>
            <w:r>
              <w:rPr>
                <w:rFonts w:ascii="仿宋_GB2312" w:hAnsi="仿宋_GB2312" w:cs="仿宋_GB2312" w:eastAsia="仿宋_GB2312"/>
              </w:rPr>
              <w:t>投标供应商基本信息及项目经理基本信息应在“陕西建设网（http://js.shaanxi.gov.cn/）或陕西省建筑市场监管与诚信信息发布平台”可查询；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投标供应商不得在各级诚信信息平台被列为投标受限制的行为人（提供承诺）；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条件的中小企业参与，并提供中小企业声明函，残疾人福利企业、监狱企业视同小微企业。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技术方案.docx 已标价工程量清单.docx 中小企业声明函 残疾人福利性单位声明函 拒绝政府采购领域商业贿赂承诺书.docx 报价函 标的清单 响应函 资格证明文件.docx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技术方案.docx 已标价工程量清单.docx 中小企业声明函 残疾人福利性单位声明函 拒绝政府采购领域商业贿赂承诺书.docx 报价函 标的清单 响应函 资格证明文件.docx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技术方案.docx 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缺陷责任期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响应文件封面 已标价工程量清单.docx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技术方案内容完全满足所有评审标准得8.5分；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8.5000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技术方案内容完全满足一项评审标准得2.5分，总分7.5分；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技术方案内容完全满足一项评审标准得2.5分，总分7.5分；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确保文明施工的技术组织措施及保护措施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技术方案内容完全满足一项评审标准得2.5分，总分7.5分；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技术方案内容完全满足一项评审标准得2分，总分6分；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技术方案内容完全满足一项评审标准得2分，总分6分；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技术方案内容完全满足一项评审标准得2分，总分6分；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施工机械配备和材料投入计划包括但不限于新材料、新工艺、绿色建材的使用</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技术方案内容完全满足一项评审标准得2分，总分6分；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技术方案内容完全满足一项评审标准得2分，总分6分；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施工环保、“治污减霾”措施计划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技术方案内容完全满足一项评审标准得2分，总分6分；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2022年04月01日（以合同签订日期为准）类似项目业绩（以合同复印件或扫描件加盖公章为准）每个有效业绩得1分，满分共计3分。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