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版本号：SXZJF2025-CS00520250516001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安村镇寇坡村村内主干道路硬化项目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SXZJF2025-CS005</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陕西中久福项目咨询管理有限公司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陕西中久福项目咨询管理有限公司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安村镇寇坡村村内主干道路硬化项目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SXZJF2025-CS005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安村镇寇坡村村内主干道路硬化项目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新建水泥混凝土路面5060㎡，新建1-0.75钢筋混凝土圆管涵2道。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采购包1（安村镇寇坡村村内主干道路硬化项目）：属于专门面向中小企业采购。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1、法定代表人授权书或法人身份证明：授权代表参加磋商的，须提供法定代表人授权书（附法定代表人、被授权人身份证复印件加盖单位公章），法定代表人参加磋商的，须提供法定代表人身份证明。</w:t>
      </w:r>
    </w:p>
    <w:p>
      <w:pPr>
        <w:pStyle w:val="null3"/>
      </w:pPr>
      <w:r>
        <w:rPr>
          <w:rFonts w:ascii="仿宋_GB2312" w:hAnsi="仿宋_GB2312" w:cs="仿宋_GB2312" w:eastAsia="仿宋_GB2312"/>
        </w:rPr>
        <w:t>2、供应商资质：供应商须具备行业主管部门颁发的市政公用工程施工总承包三级（含三级）及以上资质并具有有效的安全生产许可证。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拟派项目经理资质和专业要求：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5、承诺书：投标供应商不得在各级诚信信息平台被列为投标受限制的行为人（以承诺书为准，格式自拟）。</w:t>
      </w:r>
    </w:p>
    <w:p>
      <w:pPr>
        <w:pStyle w:val="null3"/>
      </w:pPr>
      <w:r>
        <w:rPr>
          <w:rFonts w:ascii="仿宋_GB2312" w:hAnsi="仿宋_GB2312" w:cs="仿宋_GB2312" w:eastAsia="仿宋_GB2312"/>
        </w:rPr>
        <w:t>6、非联合体声明：本项目不接受联合体投标（格式自拟）。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15091767777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陕西中久福项目咨询管理有限公司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陕西省西安市新城区陕西省西安市新城区金花北路299号恒基碧翠锦华31号楼2单元2204室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胡明月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15619039103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采购包1：878,100.00元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本项目招标代理服务费参照国家计委关于印发《招标代理服务收费管理暂行办法》的通知（计价格〔2002〕1980号）、《国家发展和改革委员会办公厅关于招标代理服务收费有关问题的通知》（发改办价格〔2003〕857号）及（发改办价格〔2011〕534号）规定执行。本项目成交服务费由成交单位一次性支付。2、代理服务费账户信息银行户名：采购代理机构开户名称：陕西中久福项目咨询管理有限公司 开户行：中国建设银行股份有限公司西安三桥二十四城支行银行账号：61050110571500000697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陕西中久福项目咨询管理有限公司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陕西中久福项目咨询管理有限公司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陕西中久福项目咨询管理有限公司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陕西中久福项目咨询管理有限公司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联系人：胡明月</w:t>
      </w:r>
    </w:p>
    <w:p>
      <w:pPr>
        <w:pStyle w:val="null3"/>
      </w:pPr>
      <w:r>
        <w:rPr>
          <w:rFonts w:ascii="仿宋_GB2312" w:hAnsi="仿宋_GB2312" w:cs="仿宋_GB2312" w:eastAsia="仿宋_GB2312"/>
        </w:rPr>
        <w:t>联系电话：15619039103</w:t>
      </w:r>
    </w:p>
    <w:p>
      <w:pPr>
        <w:pStyle w:val="null3"/>
      </w:pPr>
      <w:r>
        <w:rPr>
          <w:rFonts w:ascii="仿宋_GB2312" w:hAnsi="仿宋_GB2312" w:cs="仿宋_GB2312" w:eastAsia="仿宋_GB2312"/>
        </w:rPr>
        <w:t>地址：西安市三桥街道后卫寨地铁B口东100米中国石化加油站东隔壁院内招标代理部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878,100.00</w:t>
      </w:r>
    </w:p>
    <w:p>
      <w:pPr>
        <w:pStyle w:val="null3"/>
      </w:pPr>
      <w:r>
        <w:rPr>
          <w:rFonts w:ascii="仿宋_GB2312" w:hAnsi="仿宋_GB2312" w:cs="仿宋_GB2312" w:eastAsia="仿宋_GB2312"/>
        </w:rPr>
        <w:t>采购包最高限价（元）: 871,578.79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安村镇寇坡村村内主干道路硬化项目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878,100.00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标的名称：安村镇寇坡村村内主干道路硬化项目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预算</w:t>
            </w:r>
            <w:r>
              <w:rPr>
                <w:rFonts w:ascii="仿宋_GB2312" w:hAnsi="仿宋_GB2312" w:cs="仿宋_GB2312" w:eastAsia="仿宋_GB2312"/>
                <w:sz w:val="28"/>
                <w:b/>
              </w:rPr>
              <w:t>编制说明</w:t>
            </w:r>
          </w:p>
          <w:p>
            <w:pPr>
              <w:pStyle w:val="null3"/>
              <w:ind w:firstLine="472"/>
              <w:jc w:val="both"/>
            </w:pPr>
            <w:r>
              <w:rPr>
                <w:rFonts w:ascii="仿宋_GB2312" w:hAnsi="仿宋_GB2312" w:cs="仿宋_GB2312" w:eastAsia="仿宋_GB2312"/>
                <w:sz w:val="24"/>
                <w:b/>
                <w:color w:val="000000"/>
              </w:rPr>
              <w:t>一、工程概况</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rPr>
              <w:t>本工程位于</w:t>
            </w:r>
            <w:r>
              <w:rPr>
                <w:rFonts w:ascii="仿宋_GB2312" w:hAnsi="仿宋_GB2312" w:cs="仿宋_GB2312" w:eastAsia="仿宋_GB2312"/>
                <w:sz w:val="24"/>
              </w:rPr>
              <w:t>陕西省西安市</w:t>
            </w:r>
            <w:r>
              <w:rPr>
                <w:rFonts w:ascii="仿宋_GB2312" w:hAnsi="仿宋_GB2312" w:cs="仿宋_GB2312" w:eastAsia="仿宋_GB2312"/>
                <w:sz w:val="24"/>
              </w:rPr>
              <w:t>蓝田县安村镇寇坡村</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b/>
                <w:color w:val="000000"/>
              </w:rPr>
              <w:t>二、编制范围</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依据建设单位要求，</w:t>
            </w:r>
            <w:r>
              <w:rPr>
                <w:rFonts w:ascii="仿宋_GB2312" w:hAnsi="仿宋_GB2312" w:cs="仿宋_GB2312" w:eastAsia="仿宋_GB2312"/>
                <w:sz w:val="24"/>
              </w:rPr>
              <w:t>本次批复文件及图纸范围内的所有内容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color w:val="000000"/>
              </w:rPr>
              <w:t xml:space="preserve">  三、编制依据</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《陕西省建筑、装饰工程消耗量定额》（</w:t>
            </w:r>
            <w:r>
              <w:rPr>
                <w:rFonts w:ascii="仿宋_GB2312" w:hAnsi="仿宋_GB2312" w:cs="仿宋_GB2312" w:eastAsia="仿宋_GB2312"/>
                <w:sz w:val="24"/>
              </w:rPr>
              <w:t>2004），《陕西省安装工程消耗量定额》（2004），《陕西省建设工程消耗量定额补充定额》（2004），与定额相配套使用的《陕西省建筑装饰市政园林绿化工程价目表》（2009），《陕西省安装工程价目表》（2009），《陕西省建设工程工程量清单计价费率》（2009）及其他相关的计价依据和办法</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2.人工费按陕建发【2021】1097号文《关于调整房屋建筑和市政基础设施工程工程量清单计价综合人工单价的通知》</w:t>
            </w:r>
            <w:r>
              <w:rPr>
                <w:rFonts w:ascii="仿宋_GB2312" w:hAnsi="仿宋_GB2312" w:cs="仿宋_GB2312" w:eastAsia="仿宋_GB2312"/>
                <w:sz w:val="24"/>
              </w:rPr>
              <w:t>；《关于调整陕西省建设工程计价依据的通知》陕建发【</w:t>
            </w:r>
            <w:r>
              <w:rPr>
                <w:rFonts w:ascii="仿宋_GB2312" w:hAnsi="仿宋_GB2312" w:cs="仿宋_GB2312" w:eastAsia="仿宋_GB2312"/>
                <w:sz w:val="24"/>
              </w:rPr>
              <w:t>201</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号；</w:t>
            </w:r>
            <w:r>
              <w:rPr>
                <w:rFonts w:ascii="仿宋_GB2312" w:hAnsi="仿宋_GB2312" w:cs="仿宋_GB2312" w:eastAsia="仿宋_GB2312"/>
                <w:sz w:val="24"/>
              </w:rPr>
              <w:t>陕建发【</w:t>
            </w:r>
            <w:r>
              <w:rPr>
                <w:rFonts w:ascii="仿宋_GB2312" w:hAnsi="仿宋_GB2312" w:cs="仿宋_GB2312" w:eastAsia="仿宋_GB2312"/>
                <w:sz w:val="24"/>
              </w:rPr>
              <w:t>2017】270号文件，《关于增加建设工程扬尘治理专项措施费及综合人工单价调整的通知》；</w:t>
            </w:r>
          </w:p>
          <w:p>
            <w:pPr>
              <w:pStyle w:val="null3"/>
              <w:ind w:firstLine="480"/>
              <w:jc w:val="both"/>
            </w:pPr>
            <w:r>
              <w:rPr>
                <w:rFonts w:ascii="仿宋_GB2312" w:hAnsi="仿宋_GB2312" w:cs="仿宋_GB2312" w:eastAsia="仿宋_GB2312"/>
                <w:sz w:val="24"/>
              </w:rPr>
              <w:t>3.陕建发【2020】1097号文《关于建筑施工安全生产责任保险费用计价的通知》；陕建发【2021】1021号文《关于全省统一停止收缴建筑业劳保费用的通知》；</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批复文件、图纸</w:t>
            </w:r>
            <w:r>
              <w:rPr>
                <w:rFonts w:ascii="仿宋_GB2312" w:hAnsi="仿宋_GB2312" w:cs="仿宋_GB2312" w:eastAsia="仿宋_GB2312"/>
                <w:sz w:val="24"/>
              </w:rPr>
              <w:t>及</w:t>
            </w:r>
            <w:r>
              <w:rPr>
                <w:rFonts w:ascii="仿宋_GB2312" w:hAnsi="仿宋_GB2312" w:cs="仿宋_GB2312" w:eastAsia="仿宋_GB2312"/>
                <w:sz w:val="24"/>
              </w:rPr>
              <w:t>与建设工程项目有关的规范、图集、技术资料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5.主要材料价格优先采用</w:t>
            </w:r>
            <w:r>
              <w:rPr>
                <w:rFonts w:ascii="仿宋_GB2312" w:hAnsi="仿宋_GB2312" w:cs="仿宋_GB2312" w:eastAsia="仿宋_GB2312"/>
                <w:sz w:val="24"/>
              </w:rPr>
              <w:t>蓝田</w:t>
            </w:r>
            <w:r>
              <w:rPr>
                <w:rFonts w:ascii="仿宋_GB2312" w:hAnsi="仿宋_GB2312" w:cs="仿宋_GB2312" w:eastAsia="仿宋_GB2312"/>
                <w:sz w:val="24"/>
              </w:rPr>
              <w:t>信息价</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月，信息价没有的采用市场价；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施工现场情况、工程特点及常规施工方案</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其他相关资料</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四、其他说明</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计价软件广联达云计价平台</w:t>
            </w:r>
            <w:r>
              <w:rPr>
                <w:rFonts w:ascii="仿宋_GB2312" w:hAnsi="仿宋_GB2312" w:cs="仿宋_GB2312" w:eastAsia="仿宋_GB2312"/>
                <w:sz w:val="24"/>
                <w:color w:val="000000"/>
              </w:rPr>
              <w:t>GCCP6.0中的清单计价模式，软件版本为6.4100.23.122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8"/>
                <w:b/>
              </w:rPr>
              <w:t>（二）工程量清单</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（2）付款方式：2.1付款条件说明： 合同签订后10个工作日内支付合同价款的30%； ，达到付款条件起 10 日内，支付合同总金额的 30.00%。2.2付款条件说明： 根据项目进度，付至合同价款的80% ，达到付款条件起 80日内，支付合同总金额的 50.00%。2.3付款条件说明： 待工程完工后，验收合格、经审计部门审定后支付至审定 ，达到付款条件起 90 日内，支付合同总金额的 20.00%。 （3）缺陷责任期：项目整体验收合格后1年。（4）质保期：项目整体验收合格后1年。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盘）文件1份，打印盖章后提交至招标代理公司处，以便采购人进行留存备案等工作，成交供应商应保持响应文件纸质版内容与电子版内容完全一致，否则将承担一切法律责任。纸质版响应文件 一律采用书籍（胶装）方式装订且单面或双面打印。 2、供应商务必在开标截止时间30分钟前，通过项目电子化交易系统进行签到，如未进行签到，产生的一起 后果由供应商自行承担。 3、供应商的磋商报价包括施工机械使用费、人工费、材料与设备费、其他（运杂费、质检费、施工费、安装费、缺陷修复费、保险费，以及合同明示或暗示的风险、 责任和义务等），以及管理费、税金、利润、采购代理服务费等完成本项目包含的所有费用，并符合建设工程计价规则。 4、 采购标的对应的中小企业划分标准所属行业为建筑业。建筑业的划型标准 为：营业收入80000万元以下或资产总额80000万 元以下的为中小微型企业。其中，营业收入6000万元及以上，且资产总额 5000万元及以上的为中型企业；营业收入300万 元及以上，且资产总额300万元及以上的为小型企业；营业收入300万元以下或资产总额300万元以下的为微型企业。 5、需要落实的政府采购政策： 1）《国务院办公厅关于建立政府强制采购节能产品制度的通知》（国办发〔2007〕51号）； 2） 《财政部 司法部关于政府采购支持监狱企业发展有关问题的通知》（财库〔2014〕68号）； 3）《三部门联合发布关于促进 残疾人就业政府采购政策的通知》（财库〔2017〕141号）； 4）《财政部 发展改革委 生态环境部 市场监管总局关于调整优 化节能产品、环境标志产品政府采购执行机制的通知》（财库〔2019〕9号）； 5）《关于运用政府采购政策支持乡村产业振 兴的通知》（财库〔2021〕19号）； 6）《政府采购促进中小企业发展管理办法》（财库〔2020〕46号）； 7）陕西省财政 厅关于印发《陕西省中小企业政府采购信用融资办 法》（陕财办采〔2018〕23号）； 8）《关于进一步加大政府采购支持中 小企业力度的通知》（财库〔2022〕19号）； 9）《关于扩大政府采购支持绿色建材促进建筑品质提升政策实施范围的通 知》（财库〔2022〕35号）。 6、根据《西安市财政局关于促进政府采购公平竞争优化营商环境的通知》（市财函〔2021〕431号）供应商免费领取竞争性磋商文件后，供应商如不参与项目投标，需在递交响应文件截止时间前一日以书面形式告知项目联系人（联系邮箱：sxzjf888@126.com）。否则，采购代理机构将向财政部门反映。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资料，自然人参与的提供其身份证明；（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3）提供具有履行合同所必需的设备和专业技术能力的承诺；（4）税收证明：提供2024年至今已缴纳的任意1个月的纳税证明或完税证明（纳税证明或完税证明上应有代收机构或税务机关的公章或业务章），依法免税的单位应提供相关证明材料；（5）社会保障资金缴纳证明：提供2024年至今已缴存的任意1个月的社会保障资金缴存单据或社保机构开具的社会保险参保缴费情况证明，依法不需要缴纳社会保障资金的应提供相关证明材料；（6）书面声明：参加本次政府采购活动前三年内在经营活动中没有重大违纪，以及未被列入失信被执行人、重大税收违法案件当事人名单、政府采购严重违法失信行为记录名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授权代表参加磋商的，须提供法定代表人授权书（附法定代表人、被授权人身份证复印件加盖单位公章），法定代表人参加磋商的，须提供法定代表人身份证明。</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 其他资料.docx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投标供应商不得在各级诚信信息平台被列为投标受限制的行为人（以承诺书为准，格式自拟）。</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本项目不接受联合体投标（格式自拟）。</w:t>
            </w:r>
          </w:p>
        </w:tc>
        <w:tc>
          <w:tcPr>
            <w:tcW w:type="dxa" w:w="1661"/>
          </w:tcPr>
          <w:p>
            <w:pPr>
              <w:pStyle w:val="null3"/>
            </w:pPr>
            <w:r>
              <w:rPr>
                <w:rFonts w:ascii="仿宋_GB2312" w:hAnsi="仿宋_GB2312" w:cs="仿宋_GB2312" w:eastAsia="仿宋_GB2312"/>
              </w:rPr>
              <w:t>供应商应提交的相关资格证明材料.docx 其他资料.docx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技术和（商务）响应说明.docx 中小企业声明函 供应商承诺书.docx 响应文件封面 供应商应提交的相关资格证明材料.docx 供应商企业关系关联承诺书.docx 残疾人福利性单位声明函 报价函 标的清单 其他资料.docx 响应函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已标价工程量清单 技术和（商务）响应说明.docx 中小企业声明函 供应商承诺书.docx 响应文件封面 供应商应提交的相关资格证明材料.docx 供应商企业关系关联承诺书.docx 残疾人福利性单位声明函 报价函 标的清单 其他资料.docx 响应函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技术和（商务）响应说明.docx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技术方案内容每有一处缺陷扣0.5分，扣完为止，不计负分；其他或未提供得0分。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技术方案内容完全满足一项评审标准得2.5分，总分7.5分；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包含但不限于：组织机构健全，有完善的岗位制度和岗位职责，人员安排合理、分工明确，可操作性强。 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包含但不限于：新材料、新工艺、 绿色建材的使用。 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施工环保、“治污减霾 ”措施计划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技术方案内容完全满足一项评审标准得1.5分，总分4.5分；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2022年05月01日（以合同签订日期为准）类似项目业绩（以合同复印件或扫描件加盖公章为准）每个有效业绩得0.5分，满分共计1分。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详见附件：技术和（商务）响应说明.docx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