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版本号：SDZC2025-07220250516001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乔村村内道路提升项目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SDZC2025-072</w:t>
      </w:r>
      <w:r>
        <w:br/>
      </w:r>
      <w:r>
        <w:br/>
      </w:r>
      <w:r>
        <w:br/>
      </w:r>
    </w:p>
    <w:p>
      <w:pPr>
        <w:pStyle w:val="null3"/>
        <w:jc w:val="center"/>
        <w:outlineLvl w:val="2"/>
      </w:pPr>
      <w:r>
        <w:rPr>
          <w:rFonts w:ascii="仿宋_GB2312" w:hAnsi="仿宋_GB2312" w:cs="仿宋_GB2312" w:eastAsia="仿宋_GB2312"/>
          <w:sz w:val="28"/>
          <w:b/>
        </w:rPr>
        <w:t>西安市蓝田县三里镇人民政府（本级）</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西安市蓝田县三里镇人民政府（本级）</w:t>
      </w:r>
      <w:r>
        <w:rPr>
          <w:rFonts w:ascii="仿宋_GB2312" w:hAnsi="仿宋_GB2312" w:cs="仿宋_GB2312" w:eastAsia="仿宋_GB2312"/>
        </w:rPr>
        <w:t>委托，拟对</w:t>
      </w:r>
      <w:r>
        <w:rPr>
          <w:rFonts w:ascii="仿宋_GB2312" w:hAnsi="仿宋_GB2312" w:cs="仿宋_GB2312" w:eastAsia="仿宋_GB2312"/>
        </w:rPr>
        <w:t>乔村村内道路提升项目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乔村村内道路提升项目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乔村村内道路提升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采购包1（乔村村内道路提升项目）：属于专门面向中小企业采购。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8、供应商资质：供应商具有建设行政主管部门核发的市政公用工程施工总承包三级（含）以上资质，并提供有效的安全生产许可证；</w:t>
      </w:r>
    </w:p>
    <w:p>
      <w:pPr>
        <w:pStyle w:val="null3"/>
      </w:pPr>
      <w:r>
        <w:rPr>
          <w:rFonts w:ascii="仿宋_GB2312" w:hAnsi="仿宋_GB2312" w:cs="仿宋_GB2312" w:eastAsia="仿宋_GB2312"/>
        </w:rPr>
        <w:t>9、项目经理：项目经理须具备市政公用工程专业二级（含）以上注册建造师资格,具有有效的安全生产考核合格证书（建安B证），且未担任其他在建工程项目的书面声明；</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西安市蓝田县三里镇人民政府（本级）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蓝田县三里镇温泉路1号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林伟达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029-82721359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宋芳芳（11号工位）、王涛、魏蕾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西安市蓝田县三里镇人民政府（本级）</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西安市蓝田县三里镇人民政府（本级）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西安市蓝田县三里镇人民政府（本级）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联系人：宋芳芳（11号工位）</w:t>
      </w:r>
    </w:p>
    <w:p>
      <w:pPr>
        <w:pStyle w:val="null3"/>
      </w:pPr>
      <w:r>
        <w:rPr>
          <w:rFonts w:ascii="仿宋_GB2312" w:hAnsi="仿宋_GB2312" w:cs="仿宋_GB2312" w:eastAsia="仿宋_GB2312"/>
        </w:rPr>
        <w:t>联系电话：029-86673953/86518381/89299829/89293231转8011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704,000.00</w:t>
      </w:r>
    </w:p>
    <w:p>
      <w:pPr>
        <w:pStyle w:val="null3"/>
      </w:pPr>
      <w:r>
        <w:rPr>
          <w:rFonts w:ascii="仿宋_GB2312" w:hAnsi="仿宋_GB2312" w:cs="仿宋_GB2312" w:eastAsia="仿宋_GB2312"/>
        </w:rPr>
        <w:t>采购包最高限价（元）: 704,000.00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乔村村内道路提升项目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704,000.00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标的名称：乔村村内道路提升项目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60个日历日内施工完毕。2、运输、施工：成交人负责材料的运输、施工及其他伴随服务。3、付款条件说明：3.1甲乙双方合同签订后，甲方向乙方支付40%作为预付款（达到付款条件起30日内，支付合同总金额的40%）；3.2竣工验收合格后支付到合同总金额的85%（达到付款条件起30日内，支付合同总金额的45%）；3.3结算审计后支付到合同总金额的97%（达到付款条件起30日内，支付合同总金额的12%）；3.4剩余3%终验合格一年后支付（达到付款条件起30日内，支付合同总金额的3%）。4、施工要求：4.1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4.2成交人应配合项目建设进度,向采购人提供施工组织计划、进度计划和施工作业计划，并签订施工安全责任书。4.3采购人只提供电源、水源。成交人在施工期间不得破坏原有建筑。5、质量保证和售后服务：5.1质保期一年，成交人承诺的质保时间超过文件要求的，按其承诺时间质保。成交人承诺的质保期起始时间为终验合格之日起。5.2工程质量等级达到合格或以上标准。5.3成交人应遵照国家规范规定的建筑工程施工质量标准及要求作出明确承诺。5.4在质量保证期内，成交人应具有良好、迅速的售后服务能力。6、合同实施：6.1成交人应在合同签订后，7个日历日内安排人员（项目组成人员简历表所列）就施工工作等进行安排、部署。6.2若因成交人原因未能在规定工期内完成合同规定的义务，由此对采购人造成的延误和一切损失，由成交人承担和赔偿。7、违约责任：7.1磋商响应文件中提供的资质证书等材料在合同签订及履行期间持续有效，否则响应文件中应提供一份承诺书，承诺到期前完成续期并向采购人提供新的材料；7.2按《中华人民共和国民法典》中的相关条款执行；7.3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1、成交人在领取成交通知书时提供一正两副纸质竞争性磋商响应文件。2、本项目采购标的对应的中小企业划分标准所属行业为（建筑业）。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 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供应商具有建设行政主管部门核发的市政公用工程施工总承包三级（含）以上资质，并提供有效的安全生产许可证；</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项目经理须具备市政公用工程专业二级（含）以上注册建造师资格,具有有效的安全生产考核合格证书（建安B证），且未担任其他在建工程项目的书面声明；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磋商报价说明.docx 已标价工程量清单 报价函 1拒绝政府采购领域商业贿赂承诺书2采购活动的承诺函.docx 标的清单 工程量清单计价表.docx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响应文件封面 残疾人福利性单位声明函 授权委托书.docx 中小企业声明函 1拒绝政府采购领域商业贿赂承诺书2采购活动的承诺函.docx 商务标封皮.docx 技术标封皮.docx 竞争性磋商文件及合同条款的承诺.docx 承诺书.docx 响应函 响应偏离表.docx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响应文件封面 磋商报价说明.docx 授权委托书.docx 中小企业声明函 1拒绝政府采购领域商业贿赂承诺书2采购活动的承诺函.docx 竞争性磋商文件及合同条款的承诺.docx 技术标封皮.docx 商务标封皮.docx 承诺书.docx 工程量清单计价表.docx 响应函 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磋商报价说明.docx 1拒绝政府采购领域商业贿赂承诺书2采购活动的承诺函.docx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磋商报价说明.docx 1拒绝政府采购领域商业贿赂承诺书2采购活动的承诺函.docx 工程量清单计价表.docx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磋商响应文件中提供的资质证书等材料在合同签订及履行期间持续有效，否则响应文件中应提供一份承诺书，承诺到期前完成续期并向采购人提供新的材料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磋商响应文件中提供的资质证书等材料在合同签订及履行期间持续有效，否则响应文件中应提供一份承诺书，承诺到期前完成续期并向采购人提供新的材料。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供应商针对本项目编制完善的工程质量技术组织措施，内容包含但不限于：质量目标管理体系、施工质量的检验制度、确保质量的技术组织措施、材料储存方案等。 评审标准： ①内容完整全面详细，且各项制度、措施等合理具体，内容能够紧扣项目实际情况，条理清晰的计6分；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技术标附表.docx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安全文明施工目标及施工现场的临时管理措施、文明施工保障措施、环境保护管理体系、环保控制措施、污染物及废弃物处理的排放、噪音控制、防尘及扬尘的控制措施。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技术标附表.docx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技术标附表.docx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供应商针对本项目编制完善的工期的技术组织措施，内容包含但不限于：施工组织与工期保证措施、特殊情况保证：夜间、雨季、高温等情况。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技术标附表.docx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①内容完整全面详细、合理具体，内容能够紧扣项目实际情况，条理清晰的计10分； ②内容完整，但条理不清晰、措施不具体或无紧扣项目实际情况的计7分； ③仅有框架，无实质性实施内容的或内容宽泛的计5分； ④内容缺1项的计3分； ⑤内容缺2项的或内容粗略、逻辑混乱、出现常识性错误、存在不可能实现的夸大情形的计1分；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技术标附表.docx</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供应商针对本项目编制完善的施工机械及材料投入计划，内容包含但不限于：拟投入的主要施工机械设备计划、主要材料进场计划。 评审标准 ①内容完整全面详细、合理具体，内容能够紧扣项目实际情况，条理清晰的计6分； ②内容完整，但条理不清晰、计划不具体或无紧扣项目实际情况的计4分；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技术标附表.docx</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技术标附表.docx</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供应商针对本项目编制完善的劳动力安排计划及劳务分包情况，内容包含但不限于：①劳动力投入计划，②劳动力保障措施。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技术标附表.docx</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供应商针对本项目编制完善的项目经理部组织机构，内容包含但不限于：项目成员配置清单及架构、项目组配备人员的专业素质、人员结构、项目成员的主要职责及工作内容等。 评审标准 ①内容完整全面详细、合理具体，内容能够紧扣项目实际情况，条理清晰的计6分； ②内容完整，但条理不清晰、人员结果不具体或无紧扣项目实际情况的计4分；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p>
            <w:pPr>
              <w:pStyle w:val="null3"/>
            </w:pPr>
            <w:r>
              <w:rPr>
                <w:rFonts w:ascii="仿宋_GB2312" w:hAnsi="仿宋_GB2312" w:cs="仿宋_GB2312" w:eastAsia="仿宋_GB2312"/>
              </w:rPr>
              <w:t>技术标附表.docx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以合同形式提供供应商2022年01月至今类似项目业绩，每份计2分，计满6分为止。（以合同签订时间为准，附合同复印件）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技术标附表.docx</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技术标附表.docx</w:t>
            </w:r>
          </w:p>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详见附件：商务标封皮.docx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详见附件：竞争性磋商文件及合同条款的承诺.docx</w:t>
      </w:r>
    </w:p>
    <w:p>
      <w:pPr>
        <w:pStyle w:val="null3"/>
        <w:ind w:firstLine="960"/>
      </w:pPr>
      <w:r>
        <w:rPr>
          <w:rFonts w:ascii="仿宋_GB2312" w:hAnsi="仿宋_GB2312" w:cs="仿宋_GB2312" w:eastAsia="仿宋_GB2312"/>
        </w:rPr>
        <w:t>详见附件：磋商报价说明.docx</w:t>
      </w:r>
    </w:p>
    <w:p>
      <w:pPr>
        <w:pStyle w:val="null3"/>
        <w:ind w:firstLine="960"/>
      </w:pPr>
      <w:r>
        <w:rPr>
          <w:rFonts w:ascii="仿宋_GB2312" w:hAnsi="仿宋_GB2312" w:cs="仿宋_GB2312" w:eastAsia="仿宋_GB2312"/>
        </w:rPr>
        <w:t>详见附件：工程量清单计价表.docx</w:t>
      </w:r>
    </w:p>
    <w:p>
      <w:pPr>
        <w:pStyle w:val="null3"/>
        <w:ind w:firstLine="960"/>
      </w:pPr>
      <w:r>
        <w:rPr>
          <w:rFonts w:ascii="仿宋_GB2312" w:hAnsi="仿宋_GB2312" w:cs="仿宋_GB2312" w:eastAsia="仿宋_GB2312"/>
        </w:rPr>
        <w:t>详见附件：技术标封皮.docx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详见附件：技术标附表.docx</w:t>
      </w:r>
    </w:p>
    <w:p>
      <w:pPr>
        <w:pStyle w:val="null3"/>
        <w:ind w:firstLine="960"/>
      </w:pPr>
      <w:r>
        <w:rPr>
          <w:rFonts w:ascii="仿宋_GB2312" w:hAnsi="仿宋_GB2312" w:cs="仿宋_GB2312" w:eastAsia="仿宋_GB2312"/>
        </w:rPr>
        <w:t>详见附件：1拒绝政府采购领域商业贿赂承诺书2采购活动的承诺函.docx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