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版本号：SXSJ-202500720250526002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蓝田县已编制实用性村庄规划编制成果评估项目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SXSJ-2025007</w:t>
      </w:r>
      <w:r>
        <w:br/>
      </w:r>
      <w:r>
        <w:br/>
      </w:r>
      <w:r>
        <w:br/>
      </w:r>
    </w:p>
    <w:p>
      <w:pPr>
        <w:pStyle w:val="null3"/>
        <w:jc w:val="center"/>
        <w:outlineLvl w:val="2"/>
      </w:pPr>
      <w:r>
        <w:rPr>
          <w:rFonts w:ascii="仿宋_GB2312" w:hAnsi="仿宋_GB2312" w:cs="仿宋_GB2312" w:eastAsia="仿宋_GB2312"/>
          <w:sz w:val="28"/>
          <w:b/>
        </w:rPr>
        <w:t>蓝田县自然资源和规划局</w:t>
      </w:r>
    </w:p>
    <w:p>
      <w:pPr>
        <w:pStyle w:val="null3"/>
        <w:jc w:val="center"/>
        <w:outlineLvl w:val="2"/>
      </w:pPr>
      <w:r>
        <w:rPr>
          <w:rFonts w:ascii="仿宋_GB2312" w:hAnsi="仿宋_GB2312" w:cs="仿宋_GB2312" w:eastAsia="仿宋_GB2312"/>
          <w:sz w:val="28"/>
          <w:b/>
        </w:rPr>
        <w:t>陕西昇杰项目管理有限公司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陕西昇杰项目管理有限公司</w:t>
      </w:r>
      <w:r>
        <w:rPr>
          <w:rFonts w:ascii="仿宋_GB2312" w:hAnsi="仿宋_GB2312" w:cs="仿宋_GB2312" w:eastAsia="仿宋_GB2312"/>
        </w:rPr>
        <w:t>（以下简称“代理机构”）受</w:t>
      </w:r>
      <w:r>
        <w:rPr>
          <w:rFonts w:ascii="仿宋_GB2312" w:hAnsi="仿宋_GB2312" w:cs="仿宋_GB2312" w:eastAsia="仿宋_GB2312"/>
        </w:rPr>
        <w:t>蓝田县自然资源和规划局</w:t>
      </w:r>
      <w:r>
        <w:rPr>
          <w:rFonts w:ascii="仿宋_GB2312" w:hAnsi="仿宋_GB2312" w:cs="仿宋_GB2312" w:eastAsia="仿宋_GB2312"/>
        </w:rPr>
        <w:t>委托，拟对</w:t>
      </w:r>
      <w:r>
        <w:rPr>
          <w:rFonts w:ascii="仿宋_GB2312" w:hAnsi="仿宋_GB2312" w:cs="仿宋_GB2312" w:eastAsia="仿宋_GB2312"/>
        </w:rPr>
        <w:t>蓝田县已编制实用性村庄规划编制成果评估项目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SXSJ-2025007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蓝田县已编制实用性村庄规划编制成果评估项目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用性村庄规划编制成果评估的主要是检验规划的科学性、实用性和可操作性，为保障规划有效指导村庄可持续发展，促进资源合理利用、生态保护与民生改善协调统一。按照省厅工作安排，拟启动已编制的122个实用性村庄规划编制成果评估工作。按照中省市文件要求，开展已编制实用性村庄规划编制成果评估，时间紧、任务重，为确保高质量完成村庄规划成果评估，遴选有丰富经验且拥有相应资质的专业机构，严格按照《西安市实用性村庄规划编制技术要点》要求编制本次村庄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采购包1（蓝田县已编制实用性村庄规划编制成果评估项目）：属于专门面向中小企业采购。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1、主体证明文件 ：提供合格有效的法人或者其他组织的营业执照等证明文件，自然人的身份证明；投标人是法人或其他组织的应提供营业执照等证明文件，投标人是自然人的应提供有效的自然人身份证明（提供加盖单位公章附在投标文件中）</w:t>
      </w:r>
    </w:p>
    <w:p>
      <w:pPr>
        <w:pStyle w:val="null3"/>
      </w:pPr>
      <w:r>
        <w:rPr>
          <w:rFonts w:ascii="仿宋_GB2312" w:hAnsi="仿宋_GB2312" w:cs="仿宋_GB2312" w:eastAsia="仿宋_GB2312"/>
        </w:rPr>
        <w:t>2、资质要求：投标供应商需具有行业主管部门颁发的城乡规划编制乙级及以上资质（含乙级）或土地规划乙级及以上资质（含乙级）；</w:t>
      </w:r>
    </w:p>
    <w:p>
      <w:pPr>
        <w:pStyle w:val="null3"/>
      </w:pPr>
      <w:r>
        <w:rPr>
          <w:rFonts w:ascii="仿宋_GB2312" w:hAnsi="仿宋_GB2312" w:cs="仿宋_GB2312" w:eastAsia="仿宋_GB2312"/>
        </w:rPr>
        <w:t>3、法定代表人授权书：法定代表人授权书（法定代表人直接参加投标，须提供法定代表人身份证明）；</w:t>
      </w:r>
    </w:p>
    <w:p>
      <w:pPr>
        <w:pStyle w:val="null3"/>
      </w:pPr>
      <w:r>
        <w:rPr>
          <w:rFonts w:ascii="仿宋_GB2312" w:hAnsi="仿宋_GB2312" w:cs="仿宋_GB2312" w:eastAsia="仿宋_GB2312"/>
        </w:rPr>
        <w:t>4、财务状况报告：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5、税收缴纳证明：提供投标截止日前一年内已缴纳的至少一个月的纳税证明或完税证明，依法免税的单位应提供相关证明材料；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7、履行合同所必需的设备和专业技术能力的承诺：提供具有履行合同所必需的设备和专业技术能力的承诺；</w:t>
      </w:r>
    </w:p>
    <w:p>
      <w:pPr>
        <w:pStyle w:val="null3"/>
      </w:pPr>
      <w:r>
        <w:rPr>
          <w:rFonts w:ascii="仿宋_GB2312" w:hAnsi="仿宋_GB2312" w:cs="仿宋_GB2312" w:eastAsia="仿宋_GB2312"/>
        </w:rPr>
        <w:t>8、三年内无重大违法记录的书面声明：参加政府采购活动前3年内，在经营活动中没有重大违法记录的书面声明。</w:t>
      </w:r>
    </w:p>
    <w:p>
      <w:pPr>
        <w:pStyle w:val="null3"/>
      </w:pPr>
      <w:r>
        <w:rPr>
          <w:rFonts w:ascii="仿宋_GB2312" w:hAnsi="仿宋_GB2312" w:cs="仿宋_GB2312" w:eastAsia="仿宋_GB2312"/>
        </w:rPr>
        <w:t>9、信誉要求：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10、本项目不接受联合体磋商：本项目不接受联合体磋商，单位负责人为同一人或者存在直接控股、管理关系的不同供应商，不得参加同一合同项下的政府采购活动（提供书面声明）。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蓝田县蓝新路7号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刘博如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18829289870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陕西昇杰项目管理有限公司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陕西省西安市高新区高新四路创业广场B座12层1203-B36号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13572872307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代理服务费收费标准：招标代理服务费收取参考国家计委颁布的《招标代理服务收费管理暂行办法》（计价格[2002]1980号）和（发改办价格[2003]857号）文收费标准计取。 不足5000.00元按5000.00元收取。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蓝田县自然资源和规划局</w:t>
      </w:r>
      <w:r>
        <w:rPr>
          <w:rFonts w:ascii="仿宋_GB2312" w:hAnsi="仿宋_GB2312" w:cs="仿宋_GB2312" w:eastAsia="仿宋_GB2312"/>
        </w:rPr>
        <w:t>和</w:t>
      </w:r>
      <w:r>
        <w:rPr>
          <w:rFonts w:ascii="仿宋_GB2312" w:hAnsi="仿宋_GB2312" w:cs="仿宋_GB2312" w:eastAsia="仿宋_GB2312"/>
        </w:rPr>
        <w:t>陕西昇杰项目管理有限公司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陕西昇杰项目管理有限公司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陕西昇杰项目管理有限公司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达到国家、省市有关技术标准、规范规定，质量合格。并通过专家会审查，经县政府审批通过后，成果资料按照数据标准入库。</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联系人：付潭</w:t>
      </w:r>
    </w:p>
    <w:p>
      <w:pPr>
        <w:pStyle w:val="null3"/>
      </w:pPr>
      <w:r>
        <w:rPr>
          <w:rFonts w:ascii="仿宋_GB2312" w:hAnsi="仿宋_GB2312" w:cs="仿宋_GB2312" w:eastAsia="仿宋_GB2312"/>
        </w:rPr>
        <w:t>联系电话：13572872307</w:t>
      </w:r>
    </w:p>
    <w:p>
      <w:pPr>
        <w:pStyle w:val="null3"/>
      </w:pPr>
      <w:r>
        <w:rPr>
          <w:rFonts w:ascii="仿宋_GB2312" w:hAnsi="仿宋_GB2312" w:cs="仿宋_GB2312" w:eastAsia="仿宋_GB2312"/>
        </w:rPr>
        <w:t>地址：陕西省西安市高新区高新四路创业广场B座12层1203-B36号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用性村庄规划编制成果评估的主要是检验规划的科学性、实用性和可操作性，为保障规划有效指导村庄可持续发展，促进资源合理利用、生态保护与民生改善协调统一。按照省厅工作安排，拟启动已编制的122个实用性村庄规划编制成果评估工作。按照中省市文件要求，开展已编制实用性村庄规划编制成果评估，时间紧、任务重，为确保高质量完成村庄规划成果评估，遴选有丰富经验且拥有相应资质的专业机构，严格按照《西安市实用性村庄规划编制技术要点》要求编制本次村庄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610,000.00</w:t>
      </w:r>
    </w:p>
    <w:p>
      <w:pPr>
        <w:pStyle w:val="null3"/>
      </w:pPr>
      <w:r>
        <w:rPr>
          <w:rFonts w:ascii="仿宋_GB2312" w:hAnsi="仿宋_GB2312" w:cs="仿宋_GB2312" w:eastAsia="仿宋_GB2312"/>
        </w:rPr>
        <w:t>采购包最高限价（元）: 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610000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符合但不限于下列相关法律法规要求</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1）《中共中央国务院关于建立国土空间规划体系并监督实施的若干意见》（中发[2019]18号）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2）《中央农办农业农村部自然资源部国家发展改革委财政部关于统筹推进村庄规划的意见》（农规发[2019]1号）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3）《自然资源部办公厅关于加强村庄规划促进乡村振兴的通知》（自然资办发[2019]35号）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4）中共陕西省委办公厅陕西省人民政府办公厅关于印发《陕西省深入学习“千万工程”经验扎实推进农村人居环境整治的实施意见的通知》（陕办字（2019）103 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5）《陕西省自然资源厅关于印发 2019 年全省村庄规划工作要点的通知》（陕自然资发[2019]26 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6）《中华人民共和国土地管理法实施条例》（2021 年 9 月 1 日执行）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7）《中华人民共和国城乡规划法》（2019 年 4 月修正）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8）《中华人民共和国环境保护法》（2014 年 4 月修正）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9）《中华人民共和国矿产资源法》（2018 年 9 月修正）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10）《基本农田保护条例》（2011 年修订）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11）《乡村建设行动实施方案》（2022）</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满足本项目人员配备需求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具有履行本项目合同所必需的设备和专业技术能力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依据本项目相关批示与资料包括但不限于采购文件、合同等，服务过程与最终成果满足采购人采购需求。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自合同签订之日起至项目通过审查并提交成果时止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有关技术标准、规范规定，质量合格。规划成果由规划文本、规划图纸、规划说明、规划附件等相关资料组成。规划成果包括纸质版和电子版。规划成果的表达应清晰、规范，符合国土空间规划有关的技术标准和规范。 （1）规划文本。文本基本内容应包括已编制实用性村庄规划编制成果评估报告等。 规划图纸。规划图纸按甲方具体要求提供。</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质量评估报告通过专家评审会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2、未按合同要求提供服务质量不能满足采购要求的，甲方会同相关单位，有权终止合同和对成交单位违约进行追究。 3、甲方变更委托设计项目、规模、条件或因提交资料的错误，或所提交的资料做重大修改，以至造成乙方设计返工时双方除需另行协商补充协议、重新明确有关条款外，还需根据所耗工作量增付设计费。 4、甲方协助乙方人员在现场期间调研等事宜。 5、甲方应按合同规定时间和金额向乙方支付设计费。每逾期一天，应承担应付而未付金额千分之二的逾期违约金。 6、若乙方由于自身原因要求终止或解除合同，应双倍返还定金。 7、若乙方未能按照合同时间完成设计内容，每逾期一天，应承担已付金额千分之二的逾期违约金。 8、乙方方案与甲方要求有矛盾时，乙方需根据国家及地方有关规划设计规范和规划主管部门的意见进行修改。 9、甲方要求终止或解除合同，未开始设计工作的，乙方不返还定金；若乙方已经完成方案设计的50%以上工作量时，乙方不返还方案设计费。 10、乙方不得将甲方的设计方案及成果转让第三方。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投标人是法人或其他组织的应提供营业执照等证明文件，投标人是自然人的应提供有效的自然人身份证明（提供加盖单位公章附在投标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投标供应商需具有行业主管部门颁发的城乡规划编制乙级及以上资质（含乙级）或土地规划乙级及以上资质（含乙级）；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三年内无重大违法记录的书面声明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本项目不接受联合体磋商，单位负责人为同一人或者存在直接控股、管理关系的不同供应商，不得参加同一合同项下的政府采购活动（提供书面声明）。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未超过最高限价，无选择性报价，否则按无效报价处理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能充分了解本项目需求和实施特点，理解本项目的采购背景和需求，结合项目所在区域政策，提供针对本项目规划的整体思路及整体服务方案（包括但不限于项目实施方案、调查方案、项目实施过程中的响应时效等）进行赋分。 1）思路清晰、能充分理解项目需求，服务方案考虑完善，科学可行的计(12-16)分； 2）思路清晰、理解项目需求，服务方案完整计(8-12]分； 3）基本了解项目需求，服务方案完整，基本满足项目需求计(4-8]分； 4）项目需求理解不透彻，方案简单，内容空泛计[1-4]分。 （未提供不得分）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重点、难点定位分析</w:t>
            </w:r>
          </w:p>
        </w:tc>
        <w:tc>
          <w:tcPr>
            <w:tcW w:type="dxa" w:w="2492"/>
          </w:tcPr>
          <w:p>
            <w:pPr>
              <w:pStyle w:val="null3"/>
            </w:pPr>
            <w:r>
              <w:rPr>
                <w:rFonts w:ascii="仿宋_GB2312" w:hAnsi="仿宋_GB2312" w:cs="仿宋_GB2312" w:eastAsia="仿宋_GB2312"/>
              </w:rPr>
              <w:t>供应商针对本项目的理解程度，对项目规划的重点、难点定位分析准确，切合项目特点，并提供相应的解决方案及保障措施进行赋分。 1)方案完善、科学合理、保障措施切实可行计(8-12)分； 2)方案完整、保障措施基本符合项目特点计(4-8]分； 3)方案简单、保障措施内空泛计[1-4]分。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在工作计划、工作时效、服务水平等方面具有相应的服务质量保证措施(包括但不限于服务质量管理的措施、质量控制体现、质量指标的承诺和目标，以及不能完全履行承诺时愿意接受惩罚等内容)，根据其措施的完善情况进行赋分。 1）质量保证措施全面、质量控制体系健全切实可行计(7-10)分； 2）质量保证措施基本全面、有质量控制体系可实施性一般计(3-7]分； 3）质量保证措施针对性差、质量控制体系不健全计[1-3]分。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供应商针对本项目组织实施分工明确、可行，制定详细进度计划与技术流程，工作方法符合项目实际情况，数据整理措施完善。进度保证措施全面完整，细节明确，各环节配合科学紧凑，针对性强等进行赋分。 1）计划安排合理、高效，计划针对性强，可实施性强计(7-10)分； 2）计划安排基本满足项目需求，计划可实施性一般(3-7]分； 3）计划安排混乱、不严密，无针对性计[1-3]分。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资料档案管理</w:t>
            </w:r>
          </w:p>
        </w:tc>
        <w:tc>
          <w:tcPr>
            <w:tcW w:type="dxa" w:w="2492"/>
          </w:tcPr>
          <w:p>
            <w:pPr>
              <w:pStyle w:val="null3"/>
            </w:pPr>
            <w:r>
              <w:rPr>
                <w:rFonts w:ascii="仿宋_GB2312" w:hAnsi="仿宋_GB2312" w:cs="仿宋_GB2312" w:eastAsia="仿宋_GB2312"/>
              </w:rPr>
              <w:t>根据资料管理方案、资料移交方案等全面、有效、可行情况进行赋分。 1）方案严谨、全面、行之有效计(7-10)分； 2）方案较全面，可行性一般计(3-7]分； 3）方案混乱计[1-3]分。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供应商针对本项目有详细、可行的服务承诺，包括前期准备中、组织实施时、提交成果后、参与项目验收工作等各项服务措施进行赋分。 1）服务承诺及措施合理可行计(7-10)分； 2）服务承诺及措施满足项目需求计（3-7]分； 3）服务承诺宽泛不利于项目实施计[1-3]分。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供应商针对本项目具有完善的保密措施和保密手段，从管理、人员、技术等各个方面，全面保证项目数据及相关信息不泄密，并提供保密措施及承诺。 1）保密措施严格、全面、可行性强计（3-6）分； 2）保密措施全面、可行性较一般计[1-3]分；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人员团队配备</w:t>
            </w:r>
          </w:p>
        </w:tc>
        <w:tc>
          <w:tcPr>
            <w:tcW w:type="dxa" w:w="2492"/>
          </w:tcPr>
          <w:p>
            <w:pPr>
              <w:pStyle w:val="null3"/>
            </w:pPr>
            <w:r>
              <w:rPr>
                <w:rFonts w:ascii="仿宋_GB2312" w:hAnsi="仿宋_GB2312" w:cs="仿宋_GB2312" w:eastAsia="仿宋_GB2312"/>
              </w:rPr>
              <w:t>供应商针对本项目有专业服务团队，根据投标人提供的人员相关证明材料进行赋分。 1）人员配备合理、充足，完全满足项目要求计（3-6）分； 2）人员配备较合理、充足，满足项目需求计（2-3]分； 3）人员配备一般，基本满足项目需求计[1-2]分。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2022年5月1日至今，承担过同类项目的业绩，每提供一个得2分。本项累计最高得10分。（合同复印件加盖公章，附在投标响应文件中，否则不作为评审依据）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满足采购文件内容及技术要求且投标总报价最低的投标价为评标基准价，其价格分为满分。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详见附件：合同模版-蓝田县已编制实用性村庄规划编制成果评估项目服务合同.docx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