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版本号：WFZB-2025-J-042420250522001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西安市蓝田县防返贫监测预警平台2025年平台软件服务及配套集成项目(二次)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WFZB-2025-J-0424</w:t>
      </w:r>
      <w:r>
        <w:br/>
      </w:r>
      <w:r>
        <w:br/>
      </w:r>
      <w:r>
        <w:br/>
      </w:r>
    </w:p>
    <w:p>
      <w:pPr>
        <w:pStyle w:val="null3"/>
        <w:jc w:val="center"/>
        <w:outlineLvl w:val="2"/>
      </w:pPr>
      <w:r>
        <w:rPr>
          <w:rFonts w:ascii="仿宋_GB2312" w:hAnsi="仿宋_GB2312" w:cs="仿宋_GB2312" w:eastAsia="仿宋_GB2312"/>
          <w:sz w:val="28"/>
          <w:b/>
        </w:rPr>
        <w:t>西安市蓝田县农业农村局（本级）</w:t>
      </w:r>
    </w:p>
    <w:p>
      <w:pPr>
        <w:pStyle w:val="null3"/>
        <w:jc w:val="center"/>
        <w:outlineLvl w:val="2"/>
      </w:pPr>
      <w:r>
        <w:rPr>
          <w:rFonts w:ascii="仿宋_GB2312" w:hAnsi="仿宋_GB2312" w:cs="仿宋_GB2312" w:eastAsia="仿宋_GB2312"/>
          <w:sz w:val="28"/>
          <w:b/>
        </w:rPr>
        <w:t>陕西天丞伟丰项目管理有限公司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陕西天丞伟丰项目管理有限公司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西安市蓝田县农业农村局（本级）</w:t>
      </w:r>
      <w:r>
        <w:rPr>
          <w:rFonts w:ascii="仿宋_GB2312" w:hAnsi="仿宋_GB2312" w:cs="仿宋_GB2312" w:eastAsia="仿宋_GB2312"/>
        </w:rPr>
        <w:t>委托，拟对</w:t>
      </w:r>
      <w:r>
        <w:rPr>
          <w:rFonts w:ascii="仿宋_GB2312" w:hAnsi="仿宋_GB2312" w:cs="仿宋_GB2312" w:eastAsia="仿宋_GB2312"/>
        </w:rPr>
        <w:t>西安市蓝田县防返贫监测预警平台2025年平台软件服务及配套集成项目(二次)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WFZB-2025-J-0424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西安市蓝田县防返贫监测预警平台2025年平台软件服务及配套集成项目(二次)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利用大数据、云计算、移动互联网等技术，纵向贯穿省、市、县、乡、村五级乡村振兴组织，横向连接相关行业部门数据，集基础信息管理、致贫返贫风险获取、数据比对、风险识别、风险跟踪、风险消除、问题督查督办、统计分析、网格化管理、政策宣传、成果巩固、项目管理、历史数据、户厕改革等服务为一体，成为全方位、全过程服务于我省巩固脱贫攻坚成果、防返贫预警监测工作的管理平台和服务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采购包1（西安市蓝田县防返贫监测预警平台2025年平台软件服务及配套集成项目）：属于专门面向中小企业采购。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2、法人身份证明或授权书：法定代表人直接磋商须提交法定代表人身份证明书及其身份证原件，法定代表人授权代表参加磋商的，须出具授权书及被授权人身份证（原件）；</w:t>
      </w:r>
    </w:p>
    <w:p>
      <w:pPr>
        <w:pStyle w:val="null3"/>
      </w:pPr>
      <w:r>
        <w:rPr>
          <w:rFonts w:ascii="仿宋_GB2312" w:hAnsi="仿宋_GB2312" w:cs="仿宋_GB2312" w:eastAsia="仿宋_GB2312"/>
        </w:rPr>
        <w:t>3、财务状况报告：提供 2023年或2024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 ；</w:t>
      </w:r>
    </w:p>
    <w:p>
      <w:pPr>
        <w:pStyle w:val="null3"/>
      </w:pPr>
      <w:r>
        <w:rPr>
          <w:rFonts w:ascii="仿宋_GB2312" w:hAnsi="仿宋_GB2312" w:cs="仿宋_GB2312" w:eastAsia="仿宋_GB2312"/>
        </w:rPr>
        <w:t>4、税收缴纳证明：提供磋商响应文件提交截止时间前三个月内至少一个月已缴纳的纳税凭据或完税证明，依法免税的供应商应提供相关文件证明（复印件加盖供应商公章或提供网上可查询的网址信息）；</w:t>
      </w:r>
    </w:p>
    <w:p>
      <w:pPr>
        <w:pStyle w:val="null3"/>
      </w:pPr>
      <w:r>
        <w:rPr>
          <w:rFonts w:ascii="仿宋_GB2312" w:hAnsi="仿宋_GB2312" w:cs="仿宋_GB2312" w:eastAsia="仿宋_GB2312"/>
        </w:rPr>
        <w:t>5、社会保障资金缴纳证明：提供磋商响应文件截止时间前三个月内已缴存的至少一个月的社会保障资金缴存单据，或社保机构出具的社会保险参保缴费情况证明，依法不需要缴纳社会保障资金的单位应提供相关证明材料）（复印件加盖供应商公章或提供网上可查询的网址 信息）；</w:t>
      </w:r>
    </w:p>
    <w:p>
      <w:pPr>
        <w:pStyle w:val="null3"/>
      </w:pPr>
      <w:r>
        <w:rPr>
          <w:rFonts w:ascii="仿宋_GB2312" w:hAnsi="仿宋_GB2312" w:cs="仿宋_GB2312" w:eastAsia="仿宋_GB2312"/>
        </w:rPr>
        <w:t>6、无重大违法记录声明：供应商应具备良好的商业信誉，提供参加政府采购活动前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7、履行合同技术能力的承诺：供应商须提供具有履行合同所必需的设备和专业技术能力的承诺函(加盖供应商公章)；</w:t>
      </w:r>
    </w:p>
    <w:p>
      <w:pPr>
        <w:pStyle w:val="null3"/>
      </w:pPr>
      <w:r>
        <w:rPr>
          <w:rFonts w:ascii="仿宋_GB2312" w:hAnsi="仿宋_GB2312" w:cs="仿宋_GB2312" w:eastAsia="仿宋_GB2312"/>
        </w:rPr>
        <w:t>8、信用记录审查：提供磋商时限内“信用中国”(www.creditchina.gov.cn)网站生成的带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rFonts w:ascii="仿宋_GB2312" w:hAnsi="仿宋_GB2312" w:cs="仿宋_GB2312" w:eastAsia="仿宋_GB2312"/>
        </w:rPr>
        <w:t>9、控股、管理关系：供应商在本项目磋商中，不存在与其它供应商负责人为同一人，有控股、管理等关联关系。（提供承诺书） ；</w:t>
      </w:r>
    </w:p>
    <w:p>
      <w:pPr>
        <w:pStyle w:val="null3"/>
      </w:pPr>
      <w:r>
        <w:rPr>
          <w:rFonts w:ascii="仿宋_GB2312" w:hAnsi="仿宋_GB2312" w:cs="仿宋_GB2312" w:eastAsia="仿宋_GB2312"/>
        </w:rPr>
        <w:t>10、本项目不接受联合体投标：项目不接受联合体磋商（提供书面声明材料）。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蓝田县蓝新路45号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029-82721498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陕西天丞伟丰项目管理有限公司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陕西省西安市灞桥区陕西省西安市灞桥区长乐东路民政局家属院一号楼二单元1001号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张思雨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18302958248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 (计价格〔2002〕1980号)、《国家发展改革委关于降低部分建设项目收费标准规范收费行为等 有关问题的通知》(发改价格〔2011〕534号)规定执行。名称：陕西天丞伟丰项目管理有限公 司 纳税人识别号：91610122MA6U98CR3M 单位地址：陕西省西安市灞桥区长乐东路民政局 家属院一号楼二单元1001号 电话：18302958248 开户行：中国建设银行股份有限公司蓝田 县支行 账号：6105 0170 5305 0000 0607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西安市蓝田县农业农村局（本级）</w:t>
      </w:r>
      <w:r>
        <w:rPr>
          <w:rFonts w:ascii="仿宋_GB2312" w:hAnsi="仿宋_GB2312" w:cs="仿宋_GB2312" w:eastAsia="仿宋_GB2312"/>
        </w:rPr>
        <w:t>和</w:t>
      </w:r>
      <w:r>
        <w:rPr>
          <w:rFonts w:ascii="仿宋_GB2312" w:hAnsi="仿宋_GB2312" w:cs="仿宋_GB2312" w:eastAsia="仿宋_GB2312"/>
        </w:rPr>
        <w:t>陕西天丞伟丰项目管理有限公司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陕西天丞伟丰项目管理有限公司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陕西天丞伟丰项目管理有限公司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联系人：张思雨</w:t>
      </w:r>
    </w:p>
    <w:p>
      <w:pPr>
        <w:pStyle w:val="null3"/>
      </w:pPr>
      <w:r>
        <w:rPr>
          <w:rFonts w:ascii="仿宋_GB2312" w:hAnsi="仿宋_GB2312" w:cs="仿宋_GB2312" w:eastAsia="仿宋_GB2312"/>
        </w:rPr>
        <w:t>联系电话：18302958248</w:t>
      </w:r>
    </w:p>
    <w:p>
      <w:pPr>
        <w:pStyle w:val="null3"/>
      </w:pPr>
      <w:r>
        <w:rPr>
          <w:rFonts w:ascii="仿宋_GB2312" w:hAnsi="仿宋_GB2312" w:cs="仿宋_GB2312" w:eastAsia="仿宋_GB2312"/>
        </w:rPr>
        <w:t>地址：陕西省西安市灞桥区长乐东路民政局家属院一号楼二单元1001号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利用大数据、云计算、移动互联网等技术，纵向贯穿省、市、县、乡、村五级乡村振兴组织，横向连接相关行业部门数据，集基础信息管理、致贫返贫风险获取、数据比对、风险识别、风险跟踪、风险消除、问题督查督办、统计分析、网格化管理、政策宣传、成果巩固、项目管理、历史数据、户厕改革等服务为一体，成为全方位、全过程服务于我省巩固脱贫攻坚成果、防返贫预警监测工作的管理平台和服务平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西安市蓝田县防返贫监测预警平台2025年平台软件服务及配套集成项目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标的名称：西安市蓝田县防返贫监测预警平台2025年平台软件服务及配套集成项目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一、项目名称：</w:t>
            </w:r>
            <w:r>
              <w:rPr>
                <w:rFonts w:ascii="仿宋_GB2312" w:hAnsi="仿宋_GB2312" w:cs="仿宋_GB2312" w:eastAsia="仿宋_GB2312"/>
                <w:sz w:val="28"/>
              </w:rPr>
              <w:t>西安市蓝田县防返贫监测预警平台</w:t>
            </w:r>
            <w:r>
              <w:rPr>
                <w:rFonts w:ascii="仿宋_GB2312" w:hAnsi="仿宋_GB2312" w:cs="仿宋_GB2312" w:eastAsia="仿宋_GB2312"/>
                <w:sz w:val="28"/>
              </w:rPr>
              <w:t>2025年平台软件服务及配套集成项目</w:t>
            </w:r>
          </w:p>
          <w:p>
            <w:pPr>
              <w:pStyle w:val="null3"/>
              <w:jc w:val="both"/>
            </w:pPr>
            <w:r>
              <w:rPr>
                <w:rFonts w:ascii="仿宋_GB2312" w:hAnsi="仿宋_GB2312" w:cs="仿宋_GB2312" w:eastAsia="仿宋_GB2312"/>
                <w:sz w:val="28"/>
                <w:b/>
              </w:rPr>
              <w:t>二、采购预算</w:t>
            </w:r>
            <w:r>
              <w:rPr>
                <w:rFonts w:ascii="仿宋_GB2312" w:hAnsi="仿宋_GB2312" w:cs="仿宋_GB2312" w:eastAsia="仿宋_GB2312"/>
                <w:sz w:val="28"/>
              </w:rPr>
              <w:t>：人民币</w:t>
            </w:r>
            <w:r>
              <w:rPr>
                <w:rFonts w:ascii="仿宋_GB2312" w:hAnsi="仿宋_GB2312" w:cs="仿宋_GB2312" w:eastAsia="仿宋_GB2312"/>
                <w:sz w:val="28"/>
              </w:rPr>
              <w:t>65万元</w:t>
            </w:r>
          </w:p>
          <w:p>
            <w:pPr>
              <w:pStyle w:val="null3"/>
              <w:jc w:val="both"/>
            </w:pPr>
            <w:r>
              <w:rPr>
                <w:rFonts w:ascii="仿宋_GB2312" w:hAnsi="仿宋_GB2312" w:cs="仿宋_GB2312" w:eastAsia="仿宋_GB2312"/>
                <w:sz w:val="28"/>
                <w:b/>
              </w:rPr>
              <w:t>三、采购需求：</w:t>
            </w:r>
          </w:p>
          <w:p>
            <w:pPr>
              <w:pStyle w:val="null3"/>
              <w:ind w:firstLine="560"/>
              <w:jc w:val="both"/>
            </w:pPr>
            <w:r>
              <w:rPr>
                <w:rFonts w:ascii="仿宋_GB2312" w:hAnsi="仿宋_GB2312" w:cs="仿宋_GB2312" w:eastAsia="仿宋_GB2312"/>
                <w:sz w:val="28"/>
              </w:rPr>
              <w:t>利用大数据、云计算、移动互联网等技术，纵向贯穿省、市、县、乡、村五级乡村振兴组织，横向连接相关行业部门数据，集基础信息管理、致贫返贫风险获取、数据比对、风险识别、风险跟踪、风险消除、问题督查督办、统计分析、网格化管理、政策宣传、成果巩固、项目管理、历史数据、户厕改革等服务为一体，成为全方位、全过程服务于我省巩固脱贫攻坚成果、防返贫预警监测工作的管理平台和服务平台。</w:t>
            </w:r>
          </w:p>
          <w:p>
            <w:pPr>
              <w:pStyle w:val="null3"/>
              <w:ind w:firstLine="570"/>
              <w:jc w:val="both"/>
            </w:pPr>
            <w:r>
              <w:rPr>
                <w:rFonts w:ascii="仿宋_GB2312" w:hAnsi="仿宋_GB2312" w:cs="仿宋_GB2312" w:eastAsia="仿宋_GB2312"/>
                <w:sz w:val="28"/>
              </w:rPr>
              <w:t>主要功能目标</w:t>
            </w:r>
            <w:r>
              <w:rPr>
                <w:rFonts w:ascii="仿宋_GB2312" w:hAnsi="仿宋_GB2312" w:cs="仿宋_GB2312" w:eastAsia="仿宋_GB2312"/>
                <w:sz w:val="28"/>
              </w:rPr>
              <w:t>:对接防返贫预警监测系统，为可视化信息采集系统提供标准api接口；根据接口进行深入分析定制，完成可视化数据采集管理平台及集成服务研发对接。实现可视化数据采集管理平台定制开发、数据AI压缩智能存储系统定制开发、前端移动应用子系统API定制对接服务。</w:t>
            </w:r>
          </w:p>
          <w:p>
            <w:pPr>
              <w:pStyle w:val="null3"/>
              <w:ind w:firstLine="570"/>
              <w:jc w:val="both"/>
            </w:pPr>
            <w:r>
              <w:rPr>
                <w:rFonts w:ascii="仿宋_GB2312" w:hAnsi="仿宋_GB2312" w:cs="仿宋_GB2312" w:eastAsia="仿宋_GB2312"/>
                <w:sz w:val="28"/>
              </w:rPr>
              <w:t>采购服务内容清单：</w:t>
            </w:r>
          </w:p>
          <w:tbl>
            <w:tblPr>
              <w:tblBorders>
                <w:top w:val="none" w:color="000000" w:sz="4"/>
                <w:left w:val="none" w:color="000000" w:sz="4"/>
                <w:bottom w:val="none" w:color="000000" w:sz="4"/>
                <w:right w:val="none" w:color="000000" w:sz="4"/>
                <w:insideH w:val="none"/>
                <w:insideV w:val="none"/>
              </w:tblBorders>
            </w:tblPr>
            <w:tblGrid>
              <w:gridCol w:w="203"/>
              <w:gridCol w:w="326"/>
              <w:gridCol w:w="439"/>
              <w:gridCol w:w="1162"/>
              <w:gridCol w:w="203"/>
              <w:gridCol w:w="221"/>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名称</w:t>
                  </w:r>
                </w:p>
              </w:tc>
              <w:tc>
                <w:tcPr>
                  <w:tcW w:type="dxa" w:w="16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功能参数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一、防返贫监测预警平台服务</w:t>
                  </w: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数据中心</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户情</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村情</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镇情</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县情</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行业展现</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行业展现</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帮扶主体</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帮扶人员</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帮扶单位</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巩固成果</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监测对象</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脱贫不稳定户</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边缘易致贫户</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突发严重困难户</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监测内容</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收支监测</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三保障监测</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风险研判</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待办研判</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已办研判</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全部风险</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统计分析</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收支采集进度</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风险监测统计</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风险消除统计</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消除达标统计</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全农户数据统计</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行政村基本统计</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易地搬迁后续帮扶</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综合保障数据统计</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就业统计</w:t>
                  </w: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职能查询</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单表查询</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高级查询</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模板使用</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管理模板</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数据大屏</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数据大屏</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数据大屏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政策法规</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政策法规</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法规管理</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系统管理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用户管理</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角色管理</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03"/>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行政区域管理</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二、可视化数据采集管理平台及集成服务</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可视化数据采集管理平台定制开发服务</w:t>
                  </w:r>
                </w:p>
              </w:tc>
              <w:tc>
                <w:tcPr>
                  <w:tcW w:type="dxa" w:w="16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定制开发具备可编辑的数据采集功能平台，支持二维码发布采集链接，支持扫码跳转采集界面，支持数据采集上报，支持单选、多选、文本、判断等调查问卷采集方式，也支持定位、图片上传等功能，支持关闭问卷、开启问卷、统计数据、导出数据等功能，支持扶贫、政府、调查、考察等多种模板、矩阵测评等功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数据</w:t>
                  </w:r>
                  <w:r>
                    <w:rPr>
                      <w:rFonts w:ascii="仿宋_GB2312" w:hAnsi="仿宋_GB2312" w:cs="仿宋_GB2312" w:eastAsia="仿宋_GB2312"/>
                      <w:sz w:val="28"/>
                    </w:rPr>
                    <w:t>AI压缩智能存储系统定制开发服务</w:t>
                  </w:r>
                </w:p>
              </w:tc>
              <w:tc>
                <w:tcPr>
                  <w:tcW w:type="dxa" w:w="1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防返贫工作带来了海量的数据文件资料，包括文本、视频、图象、音频。此类日志类的大规模数据存储、处理给传统的数据库带来了很大的挑战。需通过数据</w:t>
                  </w:r>
                  <w:r>
                    <w:rPr>
                      <w:rFonts w:ascii="仿宋_GB2312" w:hAnsi="仿宋_GB2312" w:cs="仿宋_GB2312" w:eastAsia="仿宋_GB2312"/>
                      <w:sz w:val="28"/>
                    </w:rPr>
                    <w:t>AI压缩智能存储系统的定制开发，面向多媒体对象数据、针对AI数据的数据仓库解决方案，有效的解决现有大规模、多类型AI数据的存储、查询、加工与使用等问题。</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前端移动应用子系统</w:t>
                  </w:r>
                  <w:r>
                    <w:rPr>
                      <w:rFonts w:ascii="仿宋_GB2312" w:hAnsi="仿宋_GB2312" w:cs="仿宋_GB2312" w:eastAsia="仿宋_GB2312"/>
                      <w:sz w:val="28"/>
                    </w:rPr>
                    <w:t>API定制对接服务</w:t>
                  </w:r>
                </w:p>
              </w:tc>
              <w:tc>
                <w:tcPr>
                  <w:tcW w:type="dxa" w:w="1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移动应用是移动互联网最便捷的入口，通过为数据采集人员提供定制移动</w:t>
                  </w:r>
                  <w:r>
                    <w:rPr>
                      <w:rFonts w:ascii="仿宋_GB2312" w:hAnsi="仿宋_GB2312" w:cs="仿宋_GB2312" w:eastAsia="仿宋_GB2312"/>
                      <w:sz w:val="28"/>
                    </w:rPr>
                    <w:t>API接口对接，实现便捷、灵活的数据查看。具体包括：信息查阅的工具、工作帮扶工具、农户服务窗口。主要实现的功能有：监测对象查看功能、入户排查功能、农户信息查看修改功能、收支采集功能、抽查功能、视频呼叫功能、个人中心、随手拍、村务公开、困难申报等移动侧入口。</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r>
          </w:tbl>
          <w:p>
            <w:pPr>
              <w:pStyle w:val="null3"/>
              <w:jc w:val="both"/>
            </w:pPr>
            <w:r>
              <w:rPr>
                <w:rFonts w:ascii="仿宋_GB2312" w:hAnsi="仿宋_GB2312" w:cs="仿宋_GB2312" w:eastAsia="仿宋_GB2312"/>
                <w:sz w:val="28"/>
                <w:b/>
              </w:rPr>
              <w:t>四、服务要求（如对人员配置、专业设备、服务标准等）</w:t>
            </w:r>
          </w:p>
          <w:p>
            <w:pPr>
              <w:pStyle w:val="null3"/>
              <w:ind w:firstLine="560"/>
              <w:jc w:val="both"/>
            </w:pPr>
            <w:r>
              <w:rPr>
                <w:rFonts w:ascii="仿宋_GB2312" w:hAnsi="仿宋_GB2312" w:cs="仿宋_GB2312" w:eastAsia="仿宋_GB2312"/>
                <w:sz w:val="28"/>
              </w:rPr>
              <w:t>1、人员配置：具有针对本项目配置的项目负责人和服务人员。</w:t>
            </w:r>
          </w:p>
          <w:p>
            <w:pPr>
              <w:pStyle w:val="null3"/>
              <w:ind w:firstLine="560"/>
              <w:jc w:val="both"/>
            </w:pPr>
            <w:r>
              <w:rPr>
                <w:rFonts w:ascii="仿宋_GB2312" w:hAnsi="仿宋_GB2312" w:cs="仿宋_GB2312" w:eastAsia="仿宋_GB2312"/>
                <w:sz w:val="28"/>
              </w:rPr>
              <w:t>2、专业能力：具有履行合同所必须的专业技术能力。</w:t>
            </w:r>
          </w:p>
          <w:p>
            <w:pPr>
              <w:pStyle w:val="null3"/>
              <w:ind w:firstLine="560"/>
              <w:jc w:val="both"/>
            </w:pPr>
            <w:r>
              <w:rPr>
                <w:rFonts w:ascii="仿宋_GB2312" w:hAnsi="仿宋_GB2312" w:cs="仿宋_GB2312" w:eastAsia="仿宋_GB2312"/>
                <w:sz w:val="28"/>
              </w:rPr>
              <w:t>3、服务标准：符合现行的国家及行业标准。</w:t>
            </w:r>
          </w:p>
          <w:p>
            <w:pPr>
              <w:pStyle w:val="null3"/>
              <w:jc w:val="both"/>
            </w:pPr>
            <w:r>
              <w:rPr>
                <w:rFonts w:ascii="仿宋_GB2312" w:hAnsi="仿宋_GB2312" w:cs="仿宋_GB2312" w:eastAsia="仿宋_GB2312"/>
                <w:sz w:val="28"/>
                <w:b/>
              </w:rPr>
              <w:t>五、商务要求（如服务期限、款项结算等）</w:t>
            </w:r>
          </w:p>
          <w:p>
            <w:pPr>
              <w:pStyle w:val="null3"/>
              <w:ind w:firstLine="562"/>
              <w:jc w:val="both"/>
            </w:pPr>
            <w:r>
              <w:rPr>
                <w:rFonts w:ascii="仿宋_GB2312" w:hAnsi="仿宋_GB2312" w:cs="仿宋_GB2312" w:eastAsia="仿宋_GB2312"/>
                <w:sz w:val="28"/>
                <w:b/>
              </w:rPr>
              <w:t>（一）服务期限：自合同签订之日起一年</w:t>
            </w:r>
          </w:p>
          <w:p>
            <w:pPr>
              <w:pStyle w:val="null3"/>
              <w:ind w:firstLine="562"/>
              <w:jc w:val="both"/>
            </w:pPr>
            <w:r>
              <w:rPr>
                <w:rFonts w:ascii="仿宋_GB2312" w:hAnsi="仿宋_GB2312" w:cs="仿宋_GB2312" w:eastAsia="仿宋_GB2312"/>
                <w:sz w:val="28"/>
                <w:b/>
              </w:rPr>
              <w:t>（二）款项结算</w:t>
            </w:r>
          </w:p>
          <w:p>
            <w:pPr>
              <w:pStyle w:val="null3"/>
              <w:ind w:firstLine="560"/>
              <w:jc w:val="both"/>
            </w:pPr>
            <w:r>
              <w:rPr>
                <w:rFonts w:ascii="仿宋_GB2312" w:hAnsi="仿宋_GB2312" w:cs="仿宋_GB2312" w:eastAsia="仿宋_GB2312"/>
                <w:sz w:val="28"/>
              </w:rPr>
              <w:t>①合同签订后15个工作日内系统调试完毕，经采购人履约验收合格后，支付合同金额100%；</w:t>
            </w:r>
          </w:p>
          <w:p>
            <w:pPr>
              <w:pStyle w:val="null3"/>
              <w:ind w:firstLine="560"/>
              <w:jc w:val="both"/>
            </w:pPr>
            <w:r>
              <w:rPr>
                <w:rFonts w:ascii="仿宋_GB2312" w:hAnsi="仿宋_GB2312" w:cs="仿宋_GB2312" w:eastAsia="仿宋_GB2312"/>
                <w:sz w:val="28"/>
              </w:rPr>
              <w:t>②付款前，乙方应向甲方提供等额合法有效发票，附详细清单。</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具有针对本项目配置的项目负责人和服务人员。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1、专业能力：具有履行合同所必须的专业技术能力。 2、服务标准：符合现行的国家及行业标准。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服务期满，采购人组织验收。 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合同签订后15个工作日内系统调试完毕，经采购人履约验收合格后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（2）投标人未按合同要求提供服务或服务质量不能满足技术要求，且在规定时间内未使采购人满意的，采购人有权解除合同，同时报请陕西省财政厅政府采购监管部门对其违约行为进行追究。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法定代表人直接磋商须提交法定代表人身份证明书及其身份证原件，法定代表人授权代表参加磋商的，须出具授权书及被授权人身份证（原件）；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年或2024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提供磋商响应文件提交截止时间前三个月内至少一个月已缴纳的纳税凭据或完税证明，依法免税的供应商应提供相关文件证明（复印件加盖供应商公章或提供网上可查询的网址信息）；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三个月内已缴存的至少一个月的社会保障资金缴存单据，或社保机构出具的社会保险参保缴费情况证明，依法不需要缴纳社会保障资金的单位应提供相关证明材料）（复印件加盖供应商公章或提供网上可查询的网址 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服务方案（西安市蓝田县防返贫监测预警平台功能服务）</w:t>
            </w:r>
          </w:p>
        </w:tc>
        <w:tc>
          <w:tcPr>
            <w:tcW w:type="dxa" w:w="2492"/>
          </w:tcPr>
          <w:p>
            <w:pPr>
              <w:pStyle w:val="null3"/>
            </w:pPr>
            <w:r>
              <w:rPr>
                <w:rFonts w:ascii="仿宋_GB2312" w:hAnsi="仿宋_GB2312" w:cs="仿宋_GB2312" w:eastAsia="仿宋_GB2312"/>
              </w:rPr>
              <w:t>根据“西安市蓝田县防返贫监测预警平台功能服务”服务方案赋分。方案的内容完整，设计合理，描述详细准确，具有可扩展性，能充分满足项目需求，得12分；方案完整，基本满足项目需求，得9分；方案内容简单，不完整，得6分。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服务方案（系统对接服务）</w:t>
            </w:r>
          </w:p>
        </w:tc>
        <w:tc>
          <w:tcPr>
            <w:tcW w:type="dxa" w:w="2492"/>
          </w:tcPr>
          <w:p>
            <w:pPr>
              <w:pStyle w:val="null3"/>
            </w:pPr>
            <w:r>
              <w:rPr>
                <w:rFonts w:ascii="仿宋_GB2312" w:hAnsi="仿宋_GB2312" w:cs="仿宋_GB2312" w:eastAsia="仿宋_GB2312"/>
              </w:rPr>
              <w:t>根据“系统对接服务”服务方案赋分。方案的内容完整，设计合理，描述详细准确，具有可扩展性，能充分满足项目需求，得7分；方案内容简单，不完整，得4分。未提供方案得0分。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服务方案（视频会议保障服务）</w:t>
            </w:r>
          </w:p>
        </w:tc>
        <w:tc>
          <w:tcPr>
            <w:tcW w:type="dxa" w:w="2492"/>
          </w:tcPr>
          <w:p>
            <w:pPr>
              <w:pStyle w:val="null3"/>
            </w:pPr>
            <w:r>
              <w:rPr>
                <w:rFonts w:ascii="仿宋_GB2312" w:hAnsi="仿宋_GB2312" w:cs="仿宋_GB2312" w:eastAsia="仿宋_GB2312"/>
              </w:rPr>
              <w:t>案部分：根据“视频会议保障服务”服务方案赋分。方案的内容完整，具有可扩展性，能充分满足项目需求，得7分；方案内容简单，不完整，得4分。未提供方案得0分。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根据“运维方案”赋分。方案的内容完整、科学，人员配备合理，描述详细准确，能充分满足项目需求，得15分；方案完整，基本满足项目需求，得13分；方案内容简单7分，不完整，得分4分。未提供方案得0分。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投标人需为本项目提供项目团队，要求团队人员成员具有相应的专业技术能力，安排科学合理。人员配备完善合理、专业性高、针对性强得15分，人员配备基本完善、专业性一般，针对性一般得10分；人员配备不完善，专业性差、针对性弱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w:t>
            </w:r>
          </w:p>
        </w:tc>
        <w:tc>
          <w:tcPr>
            <w:tcW w:type="dxa" w:w="2492"/>
          </w:tcPr>
          <w:p>
            <w:pPr>
              <w:pStyle w:val="null3"/>
            </w:pPr>
            <w:r>
              <w:rPr>
                <w:rFonts w:ascii="仿宋_GB2312" w:hAnsi="仿宋_GB2312" w:cs="仿宋_GB2312" w:eastAsia="仿宋_GB2312"/>
              </w:rPr>
              <w:t>提供项目管理方案赋分，方案包括组织架构方案、项目监督方案、项目进度方案等。方案完整，科学合理，可操作性强，针对性强，完全满足本项目需求的，得10分；方案完整，能基本满足本项目需求，得7分；方案不完整，得4分；未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服务支撑</w:t>
            </w:r>
          </w:p>
        </w:tc>
        <w:tc>
          <w:tcPr>
            <w:tcW w:type="dxa" w:w="2492"/>
          </w:tcPr>
          <w:p>
            <w:pPr>
              <w:pStyle w:val="null3"/>
            </w:pPr>
            <w:r>
              <w:rPr>
                <w:rFonts w:ascii="仿宋_GB2312" w:hAnsi="仿宋_GB2312" w:cs="仿宋_GB2312" w:eastAsia="仿宋_GB2312"/>
              </w:rPr>
              <w:t>供应商可提供全面的本地化服务，具备省-市-县-乡各级服务支撑体系，得5分。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应急预案贴合项目实际情况，科学合理，得4分；应急预案内容不完整，描述简单，得2分。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培训方案完整，具备详细的培训内容、培训方式等说明。按其响应程度，完全满足项目需求的得5分，方案较明确，基本可操作的得4分,方案可操作性欠缺，基本满足项目需求的得2分。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提供自2022年1月1日以来，供应商承担的类似业绩赋分（以合同为准，无法判定内容或项目时间的合同，不计分），每提供1个得2分，最高10分。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满足磋商文件要求的有效报价的最小值为评审基准价，其价格分为满分。其他投标人的价格分统一按照下列公式计算：招标报价得分=（评审基准价／投标报价）×价格权值×100。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