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版本号：WFZB-2025-J-052220250530001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蓝田县焦岱镇柳家湾村人居环境提升项目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WFZB-2025-J-0522</w:t>
      </w:r>
      <w:r>
        <w:br/>
      </w:r>
      <w:r>
        <w:br/>
      </w:r>
      <w:r>
        <w:br/>
      </w:r>
    </w:p>
    <w:p>
      <w:pPr>
        <w:pStyle w:val="null3"/>
        <w:jc w:val="center"/>
        <w:outlineLvl w:val="2"/>
      </w:pPr>
      <w:r>
        <w:rPr>
          <w:rFonts w:ascii="仿宋_GB2312" w:hAnsi="仿宋_GB2312" w:cs="仿宋_GB2312" w:eastAsia="仿宋_GB2312"/>
          <w:sz w:val="28"/>
          <w:b/>
        </w:rPr>
        <w:t>西安市蓝田县焦岱镇人民政府（本级）</w:t>
      </w:r>
    </w:p>
    <w:p>
      <w:pPr>
        <w:pStyle w:val="null3"/>
        <w:jc w:val="center"/>
        <w:outlineLvl w:val="2"/>
      </w:pPr>
      <w:r>
        <w:rPr>
          <w:rFonts w:ascii="仿宋_GB2312" w:hAnsi="仿宋_GB2312" w:cs="仿宋_GB2312" w:eastAsia="仿宋_GB2312"/>
          <w:sz w:val="28"/>
          <w:b/>
        </w:rPr>
        <w:t>陕西天丞伟丰项目管理有限公司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陕西天丞伟丰项目管理有限公司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西安市蓝田县焦岱镇人民政府（本级）</w:t>
      </w:r>
      <w:r>
        <w:rPr>
          <w:rFonts w:ascii="仿宋_GB2312" w:hAnsi="仿宋_GB2312" w:cs="仿宋_GB2312" w:eastAsia="仿宋_GB2312"/>
        </w:rPr>
        <w:t>委托，拟对</w:t>
      </w:r>
      <w:r>
        <w:rPr>
          <w:rFonts w:ascii="仿宋_GB2312" w:hAnsi="仿宋_GB2312" w:cs="仿宋_GB2312" w:eastAsia="仿宋_GB2312"/>
        </w:rPr>
        <w:t>蓝田县焦岱镇柳家湾村人居环境提升项目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WFZB-2025-J-0522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蓝田县焦岱镇柳家湾村人居环境提升项目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蓝田县焦岱镇柳家湾村人居环境提升项目，根据蓝田县相关规划，焦岱镇主要定位于产业及农村旅游产业的发展，焦岱镇将全面壮大主导产业，全面探索新兴业态，全面优化生态环境，全面提升品质内涵，以点带面不断推动焦岱乡村振兴、美丽村庄建设的高质量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采购包1（蓝田县焦岱镇柳家湾村人居环境提升项目）：属于专门面向中小企业采购。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2、供应商应授权合法的人员参加磋商全过程：法定代表人参加投标时，提供法定代表人身份证明和本人身份证；授权代表参加投标时，提供法定代表人授权书和被授权人身份证；非法人单位参照执行；</w:t>
      </w:r>
    </w:p>
    <w:p>
      <w:pPr>
        <w:pStyle w:val="null3"/>
      </w:pPr>
      <w:r>
        <w:rPr>
          <w:rFonts w:ascii="仿宋_GB2312" w:hAnsi="仿宋_GB2312" w:cs="仿宋_GB2312" w:eastAsia="仿宋_GB2312"/>
        </w:rPr>
        <w:t>3、供应商资质要求：须提供建设行政主管部门颁发市政公用工程施工总承包三级（含三级）及以上资质，并具有合格有效的安全生产许可证；</w:t>
      </w:r>
    </w:p>
    <w:p>
      <w:pPr>
        <w:pStyle w:val="null3"/>
      </w:pPr>
      <w:r>
        <w:rPr>
          <w:rFonts w:ascii="仿宋_GB2312" w:hAnsi="仿宋_GB2312" w:cs="仿宋_GB2312" w:eastAsia="仿宋_GB2312"/>
        </w:rPr>
        <w:t>4、拟派项目经理资格要求：拟派项目经理须具备市政公用工程专业二级注册建造师及安全生产考核合格证书，在本单位注册且无在建工程和不良记录（提供无在建工程、无不良记录承诺书）；</w:t>
      </w:r>
    </w:p>
    <w:p>
      <w:pPr>
        <w:pStyle w:val="null3"/>
      </w:pPr>
      <w:r>
        <w:rPr>
          <w:rFonts w:ascii="仿宋_GB2312" w:hAnsi="仿宋_GB2312" w:cs="仿宋_GB2312" w:eastAsia="仿宋_GB2312"/>
        </w:rPr>
        <w:t>5、供应商信用要求：（1）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在国家企业信用信息公示系统未被列入严重违法失信企业名单。（以采购代理机构在响应文件递交截止时间后当天查询记录为准）；（2）投标人在“全国建筑市场监管公共服务平台”可查询到企业及项目负责人基本信息； （3）出具参加本次政府采购活动前三年内在经营活动中没有重大违法记录的书面声明；</w:t>
      </w:r>
    </w:p>
    <w:p>
      <w:pPr>
        <w:pStyle w:val="null3"/>
      </w:pPr>
      <w:r>
        <w:rPr>
          <w:rFonts w:ascii="仿宋_GB2312" w:hAnsi="仿宋_GB2312" w:cs="仿宋_GB2312" w:eastAsia="仿宋_GB2312"/>
        </w:rPr>
        <w:t>6、财务状况报告：须提供2023年度/2024年度的经审计的财务报告（至少包括三表一注，成立时间至提交投标文件截止时间不足一年的可提供成立后任意时段的资产负债表），或招标前三个月内开户银行出具的资信证明（附开户许可证或开户银行证明）；</w:t>
      </w:r>
    </w:p>
    <w:p>
      <w:pPr>
        <w:pStyle w:val="null3"/>
      </w:pPr>
      <w:r>
        <w:rPr>
          <w:rFonts w:ascii="仿宋_GB2312" w:hAnsi="仿宋_GB2312" w:cs="仿宋_GB2312" w:eastAsia="仿宋_GB2312"/>
        </w:rPr>
        <w:t>7、税收缴纳证明 ：提供投标文件递交时间前一年内至少一个月已缴纳的纳税证明或完税证明凭据；其他组织和自然人提供响应文件递交时间前一年内至少一个月缴纳税收的凭据；依法免税的供应商应提供相关文件证明；</w:t>
      </w:r>
    </w:p>
    <w:p>
      <w:pPr>
        <w:pStyle w:val="null3"/>
      </w:pPr>
      <w:r>
        <w:rPr>
          <w:rFonts w:ascii="仿宋_GB2312" w:hAnsi="仿宋_GB2312" w:cs="仿宋_GB2312" w:eastAsia="仿宋_GB2312"/>
        </w:rPr>
        <w:t>8、社会保障资金缴纳证明 ：提供投标文件递交时间前一年内至少一个月已缴纳的社会保障资金的凭据（专用收据或社会保险缴纳清单）；依法不需要缴纳社会保障资金的供应商应提供相关文件证明；</w:t>
      </w:r>
    </w:p>
    <w:p>
      <w:pPr>
        <w:pStyle w:val="null3"/>
      </w:pPr>
      <w:r>
        <w:rPr>
          <w:rFonts w:ascii="仿宋_GB2312" w:hAnsi="仿宋_GB2312" w:cs="仿宋_GB2312" w:eastAsia="仿宋_GB2312"/>
        </w:rPr>
        <w:t>9、供应商具有履行合同所必需的设备和专业技术能力：出具参加本次政府采购活动前三年内在经营活动中没有重大违法记录的书面声明；</w:t>
      </w:r>
    </w:p>
    <w:p>
      <w:pPr>
        <w:pStyle w:val="null3"/>
      </w:pPr>
      <w:r>
        <w:rPr>
          <w:rFonts w:ascii="仿宋_GB2312" w:hAnsi="仿宋_GB2312" w:cs="仿宋_GB2312" w:eastAsia="仿宋_GB2312"/>
        </w:rPr>
        <w:t>10、非联合体磋商：提供非联合体磋商声明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西安市蓝田县焦岱镇人民政府（本级）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蓝田县焦岱镇焦岱街村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刘霞丽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029-82865031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陕西天丞伟丰项目管理有限公司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陕西省西安市灞桥区陕西省西安市灞桥区长乐东路民政局家属院一号楼二单元1001号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张思雨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18302958248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招标代理报酬依据国家计委颁布的《招标代理服务收费管理暂行办法》（计价格[2002]1980号）和（发改办价格[2003]857号）工程收费标准计取；造价咨询服务费按陕价行发〔2014〕88号文规定的收费标准计取；2.招标代理服务费由成交供应商支付，在领取《成交通知书》前，由成交供应商一次性支付给陕西天丞伟丰项目管理有限公司。 3.招标代理服务费缴纳账户：名称：陕西天丞伟丰项目管理有限公司 纳税人识别号：91610122MA6U98CR3M 单位地址：陕西省西安市灞桥区长乐东路民政局家属院一号楼二单元1001号 电话：15319719053 开户行：中国建设银行股份有限公司蓝田县支行 账号：6105 0170 5305 0000 0607 注：成交公示结束后，成交供应商须提供纸质磋商响应文件3套及电子版U盘2个（电子版文件为Word版磋商响应文件、广联达版磋商报价及使用编标工具软件编制并导出的签章版PDF）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西安市蓝田县焦岱镇人民政府（本级）</w:t>
      </w:r>
      <w:r>
        <w:rPr>
          <w:rFonts w:ascii="仿宋_GB2312" w:hAnsi="仿宋_GB2312" w:cs="仿宋_GB2312" w:eastAsia="仿宋_GB2312"/>
        </w:rPr>
        <w:t>和</w:t>
      </w:r>
      <w:r>
        <w:rPr>
          <w:rFonts w:ascii="仿宋_GB2312" w:hAnsi="仿宋_GB2312" w:cs="仿宋_GB2312" w:eastAsia="仿宋_GB2312"/>
        </w:rPr>
        <w:t>陕西天丞伟丰项目管理有限公司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西安市蓝田县焦岱镇人民政府（本级）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陕西天丞伟丰项目管理有限公司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西安市蓝田县焦岱镇人民政府（本级）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陕西天丞伟丰项目管理有限公司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达到国家标准，行业标准及采购人要求。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陕西天丞伟丰项目管理有限公司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陕西天丞伟丰项目管理有限公司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陕西天丞伟丰项目管理有限公司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联系人：张思雨</w:t>
      </w:r>
    </w:p>
    <w:p>
      <w:pPr>
        <w:pStyle w:val="null3"/>
      </w:pPr>
      <w:r>
        <w:rPr>
          <w:rFonts w:ascii="仿宋_GB2312" w:hAnsi="仿宋_GB2312" w:cs="仿宋_GB2312" w:eastAsia="仿宋_GB2312"/>
        </w:rPr>
        <w:t>联系电话：18302958248</w:t>
      </w:r>
    </w:p>
    <w:p>
      <w:pPr>
        <w:pStyle w:val="null3"/>
      </w:pPr>
      <w:r>
        <w:rPr>
          <w:rFonts w:ascii="仿宋_GB2312" w:hAnsi="仿宋_GB2312" w:cs="仿宋_GB2312" w:eastAsia="仿宋_GB2312"/>
        </w:rPr>
        <w:t>地址：陕西省西安市灞桥区长乐东路民政局家属院一号楼二单元1001号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899,501.86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蓝田县焦岱镇柳家湾村人居环境提升项目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标的名称：蓝田县焦岱镇柳家湾村人居环境提升项目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项目概况</w:t>
            </w:r>
          </w:p>
          <w:p>
            <w:pPr>
              <w:pStyle w:val="null3"/>
              <w:ind w:firstLine="560"/>
              <w:jc w:val="both"/>
            </w:pPr>
            <w:r>
              <w:rPr>
                <w:rFonts w:ascii="仿宋_GB2312" w:hAnsi="仿宋_GB2312" w:cs="仿宋_GB2312" w:eastAsia="仿宋_GB2312"/>
                <w:sz w:val="28"/>
              </w:rPr>
              <w:t>蓝田县焦岱镇柳家湾村人居环境提升项目</w:t>
            </w:r>
            <w:r>
              <w:rPr>
                <w:rFonts w:ascii="仿宋_GB2312" w:hAnsi="仿宋_GB2312" w:cs="仿宋_GB2312" w:eastAsia="仿宋_GB2312"/>
                <w:sz w:val="28"/>
              </w:rPr>
              <w:t>，根据蓝田县相关规划，</w:t>
            </w:r>
            <w:r>
              <w:rPr>
                <w:rFonts w:ascii="仿宋_GB2312" w:hAnsi="仿宋_GB2312" w:cs="仿宋_GB2312" w:eastAsia="仿宋_GB2312"/>
                <w:sz w:val="28"/>
              </w:rPr>
              <w:t>焦岱镇</w:t>
            </w:r>
            <w:r>
              <w:rPr>
                <w:rFonts w:ascii="仿宋_GB2312" w:hAnsi="仿宋_GB2312" w:cs="仿宋_GB2312" w:eastAsia="仿宋_GB2312"/>
                <w:sz w:val="28"/>
              </w:rPr>
              <w:t>主要定位于产业及农村旅游产业的发展，</w:t>
            </w:r>
            <w:r>
              <w:rPr>
                <w:rFonts w:ascii="仿宋_GB2312" w:hAnsi="仿宋_GB2312" w:cs="仿宋_GB2312" w:eastAsia="仿宋_GB2312"/>
                <w:sz w:val="28"/>
              </w:rPr>
              <w:t>焦岱镇将全面壮大主导产业，全面探索新兴业态，全面优化生态环境，全面提升品质内涵，以点带面不断推动焦岱乡村振兴、美丽村庄建设的高质量发展。</w:t>
            </w:r>
          </w:p>
          <w:p>
            <w:pPr>
              <w:pStyle w:val="null3"/>
              <w:jc w:val="both"/>
            </w:pPr>
            <w:r>
              <w:rPr>
                <w:rFonts w:ascii="仿宋_GB2312" w:hAnsi="仿宋_GB2312" w:cs="仿宋_GB2312" w:eastAsia="仿宋_GB2312"/>
                <w:sz w:val="28"/>
                <w:b/>
              </w:rPr>
              <w:t>二、</w:t>
            </w:r>
            <w:r>
              <w:rPr>
                <w:rFonts w:ascii="仿宋_GB2312" w:hAnsi="仿宋_GB2312" w:cs="仿宋_GB2312" w:eastAsia="仿宋_GB2312"/>
                <w:sz w:val="28"/>
                <w:b/>
              </w:rPr>
              <w:t>工程内容和实施地点、计划工期、缺陷责任期、质量保修期</w:t>
            </w:r>
          </w:p>
          <w:p>
            <w:pPr>
              <w:pStyle w:val="null3"/>
              <w:ind w:firstLine="420"/>
              <w:jc w:val="both"/>
            </w:pPr>
            <w:r>
              <w:rPr>
                <w:rFonts w:ascii="仿宋_GB2312" w:hAnsi="仿宋_GB2312" w:cs="仿宋_GB2312" w:eastAsia="仿宋_GB2312"/>
                <w:sz w:val="28"/>
              </w:rPr>
              <w:t>1、工程内容： 更换道沿石及树池（拆除原有及新做）、透水混凝土、拆除原有（开挖、清表）、垃圾外运（清运）。</w:t>
            </w:r>
          </w:p>
          <w:p>
            <w:pPr>
              <w:pStyle w:val="null3"/>
              <w:ind w:firstLine="420"/>
              <w:jc w:val="both"/>
            </w:pPr>
            <w:r>
              <w:rPr>
                <w:rFonts w:ascii="仿宋_GB2312" w:hAnsi="仿宋_GB2312" w:cs="仿宋_GB2312" w:eastAsia="仿宋_GB2312"/>
                <w:sz w:val="28"/>
              </w:rPr>
              <w:t>2、实施地点：蓝田县</w:t>
            </w:r>
          </w:p>
          <w:p>
            <w:pPr>
              <w:pStyle w:val="null3"/>
              <w:ind w:firstLine="420"/>
              <w:jc w:val="both"/>
            </w:pPr>
            <w:r>
              <w:rPr>
                <w:rFonts w:ascii="仿宋_GB2312" w:hAnsi="仿宋_GB2312" w:cs="仿宋_GB2312" w:eastAsia="仿宋_GB2312"/>
                <w:sz w:val="28"/>
              </w:rPr>
              <w:t>3、计划工期：合同签订之日起45个日历日。</w:t>
            </w:r>
          </w:p>
          <w:p>
            <w:pPr>
              <w:pStyle w:val="null3"/>
              <w:ind w:firstLine="420"/>
              <w:jc w:val="both"/>
            </w:pPr>
            <w:r>
              <w:rPr>
                <w:rFonts w:ascii="仿宋_GB2312" w:hAnsi="仿宋_GB2312" w:cs="仿宋_GB2312" w:eastAsia="仿宋_GB2312"/>
                <w:sz w:val="28"/>
              </w:rPr>
              <w:t>4、缺陷责任期：自竣工验收合格之日起12个月</w:t>
            </w:r>
          </w:p>
          <w:p>
            <w:pPr>
              <w:pStyle w:val="null3"/>
              <w:ind w:firstLine="420"/>
              <w:jc w:val="both"/>
            </w:pPr>
            <w:r>
              <w:rPr>
                <w:rFonts w:ascii="仿宋_GB2312" w:hAnsi="仿宋_GB2312" w:cs="仿宋_GB2312" w:eastAsia="仿宋_GB2312"/>
                <w:sz w:val="28"/>
              </w:rPr>
              <w:t>5、质量保修期：不少于12个月</w:t>
            </w:r>
          </w:p>
          <w:p>
            <w:pPr>
              <w:pStyle w:val="null3"/>
              <w:jc w:val="both"/>
            </w:pPr>
            <w:r>
              <w:rPr>
                <w:rFonts w:ascii="仿宋_GB2312" w:hAnsi="仿宋_GB2312" w:cs="仿宋_GB2312" w:eastAsia="仿宋_GB2312"/>
                <w:sz w:val="28"/>
                <w:b/>
              </w:rPr>
              <w:t>四、</w:t>
            </w:r>
            <w:r>
              <w:rPr>
                <w:rFonts w:ascii="仿宋_GB2312" w:hAnsi="仿宋_GB2312" w:cs="仿宋_GB2312" w:eastAsia="仿宋_GB2312"/>
                <w:sz w:val="28"/>
                <w:b/>
              </w:rPr>
              <w:t>工程量清单和计价依据</w:t>
            </w:r>
          </w:p>
          <w:p>
            <w:pPr>
              <w:pStyle w:val="null3"/>
              <w:ind w:firstLine="560"/>
              <w:jc w:val="left"/>
            </w:pPr>
            <w:r>
              <w:rPr>
                <w:rFonts w:ascii="仿宋_GB2312" w:hAnsi="仿宋_GB2312" w:cs="仿宋_GB2312" w:eastAsia="仿宋_GB2312"/>
                <w:sz w:val="28"/>
              </w:rPr>
              <w:t>1.焦岱镇柳家湾村人居环境提升项目施工图纸；</w:t>
            </w:r>
          </w:p>
          <w:p>
            <w:pPr>
              <w:pStyle w:val="null3"/>
              <w:ind w:firstLine="560"/>
              <w:jc w:val="both"/>
            </w:pPr>
            <w:r>
              <w:rPr>
                <w:rFonts w:ascii="仿宋_GB2312" w:hAnsi="仿宋_GB2312" w:cs="仿宋_GB2312" w:eastAsia="仿宋_GB2312"/>
                <w:sz w:val="28"/>
              </w:rPr>
              <w:t>2.《陕西省建设工程工程量清单计价规则》【2009】、《全统修缮定额土建工程陕西省价目表》【2001】、《陕西省市政工程消耗量定额》【2004】、《陕西省市政工程价目表》【2009】、《陕西省建设工程工程量清单计价费率》【2009】及其他相关的计价依据和办法；</w:t>
            </w:r>
          </w:p>
          <w:p>
            <w:pPr>
              <w:pStyle w:val="null3"/>
              <w:ind w:firstLine="560"/>
              <w:jc w:val="both"/>
            </w:pPr>
            <w:r>
              <w:rPr>
                <w:rFonts w:ascii="仿宋_GB2312" w:hAnsi="仿宋_GB2312" w:cs="仿宋_GB2312" w:eastAsia="仿宋_GB2312"/>
                <w:sz w:val="28"/>
              </w:rPr>
              <w:t>3.扬尘治理专项措施费执行陕建发【2017】270号文《关于增加建设工程扬尘治理专项措施费调整的通知》；</w:t>
            </w:r>
          </w:p>
          <w:p>
            <w:pPr>
              <w:pStyle w:val="null3"/>
              <w:ind w:firstLine="560"/>
              <w:jc w:val="both"/>
            </w:pPr>
            <w:r>
              <w:rPr>
                <w:rFonts w:ascii="仿宋_GB2312" w:hAnsi="仿宋_GB2312" w:cs="仿宋_GB2312" w:eastAsia="仿宋_GB2312"/>
                <w:sz w:val="28"/>
              </w:rPr>
              <w:t>4.税金执行陕建发【2019】45号文《关于调整我省建设工程计价依据的通知》；</w:t>
            </w:r>
          </w:p>
          <w:p>
            <w:pPr>
              <w:pStyle w:val="null3"/>
              <w:ind w:firstLine="560"/>
              <w:jc w:val="both"/>
            </w:pPr>
            <w:r>
              <w:rPr>
                <w:rFonts w:ascii="仿宋_GB2312" w:hAnsi="仿宋_GB2312" w:cs="仿宋_GB2312" w:eastAsia="仿宋_GB2312"/>
                <w:sz w:val="28"/>
              </w:rPr>
              <w:t>5.安全文明施工费执行陕建发【2019】1246号文《关于发布我省落实建筑工人实名制管理计价依据的通知》；</w:t>
            </w:r>
          </w:p>
          <w:p>
            <w:pPr>
              <w:pStyle w:val="null3"/>
              <w:ind w:firstLine="560"/>
              <w:jc w:val="both"/>
            </w:pPr>
            <w:r>
              <w:rPr>
                <w:rFonts w:ascii="仿宋_GB2312" w:hAnsi="仿宋_GB2312" w:cs="仿宋_GB2312" w:eastAsia="仿宋_GB2312"/>
                <w:sz w:val="28"/>
              </w:rPr>
              <w:t>6.规费执行陕建发【2020】1097号文《关于建筑施工安全生产责任保险费用计价的通知》；</w:t>
            </w:r>
          </w:p>
          <w:p>
            <w:pPr>
              <w:pStyle w:val="null3"/>
              <w:ind w:firstLine="560"/>
              <w:jc w:val="both"/>
            </w:pPr>
            <w:r>
              <w:rPr>
                <w:rFonts w:ascii="仿宋_GB2312" w:hAnsi="仿宋_GB2312" w:cs="仿宋_GB2312" w:eastAsia="仿宋_GB2312"/>
                <w:sz w:val="28"/>
              </w:rPr>
              <w:t>7.劳保费用计取方式执行陕建发【2021】1021号文《关于全省统一停止收缴建筑业劳保费用的通知》；</w:t>
            </w:r>
          </w:p>
          <w:p>
            <w:pPr>
              <w:pStyle w:val="null3"/>
              <w:ind w:firstLine="560"/>
              <w:jc w:val="both"/>
            </w:pPr>
            <w:r>
              <w:rPr>
                <w:rFonts w:ascii="仿宋_GB2312" w:hAnsi="仿宋_GB2312" w:cs="仿宋_GB2312" w:eastAsia="仿宋_GB2312"/>
                <w:sz w:val="28"/>
              </w:rPr>
              <w:t>8.人工单价陕建发【2021】1097号文《关于调整房屋建筑和市政基础设施工程工程量清单计价综合人工单价的通知》；</w:t>
            </w:r>
          </w:p>
          <w:p>
            <w:pPr>
              <w:pStyle w:val="null3"/>
              <w:ind w:firstLine="560"/>
              <w:jc w:val="both"/>
            </w:pPr>
            <w:r>
              <w:rPr>
                <w:rFonts w:ascii="仿宋_GB2312" w:hAnsi="仿宋_GB2312" w:cs="仿宋_GB2312" w:eastAsia="仿宋_GB2312"/>
                <w:sz w:val="28"/>
              </w:rPr>
              <w:t>9.材料单价执行2025年4月《蓝田县工程造价管理信息-材料信息价》、信息价中缺项的价格按《陕西省工程造价管理信息-材料信息价》及市场询价执行；</w:t>
            </w:r>
          </w:p>
          <w:p>
            <w:pPr>
              <w:pStyle w:val="null3"/>
              <w:ind w:firstLine="560"/>
              <w:jc w:val="both"/>
            </w:pPr>
            <w:r>
              <w:rPr>
                <w:rFonts w:ascii="仿宋_GB2312" w:hAnsi="仿宋_GB2312" w:cs="仿宋_GB2312" w:eastAsia="仿宋_GB2312"/>
                <w:sz w:val="28"/>
              </w:rPr>
              <w:t>10.编制软件采用广联达云计价平台GCCP6.0版本6.41000.23.122。</w:t>
            </w:r>
          </w:p>
          <w:p>
            <w:pPr>
              <w:pStyle w:val="null3"/>
              <w:ind w:firstLine="560"/>
              <w:jc w:val="both"/>
            </w:pPr>
            <w:r>
              <w:rPr>
                <w:rFonts w:ascii="仿宋_GB2312" w:hAnsi="仿宋_GB2312" w:cs="仿宋_GB2312" w:eastAsia="仿宋_GB2312"/>
                <w:sz w:val="28"/>
              </w:rPr>
              <w:t>2、工程量清单</w:t>
            </w:r>
          </w:p>
          <w:p>
            <w:pPr>
              <w:pStyle w:val="null3"/>
              <w:ind w:firstLine="560"/>
              <w:jc w:val="both"/>
            </w:pPr>
            <w:r>
              <w:rPr>
                <w:rFonts w:ascii="仿宋_GB2312" w:hAnsi="仿宋_GB2312" w:cs="仿宋_GB2312" w:eastAsia="仿宋_GB2312"/>
                <w:sz w:val="28"/>
              </w:rPr>
              <w:t>详见工程量清单</w:t>
            </w:r>
          </w:p>
          <w:p>
            <w:pPr>
              <w:pStyle w:val="null3"/>
              <w:jc w:val="both"/>
            </w:pPr>
            <w:r>
              <w:rPr>
                <w:rFonts w:ascii="仿宋_GB2312" w:hAnsi="仿宋_GB2312" w:cs="仿宋_GB2312" w:eastAsia="仿宋_GB2312"/>
                <w:sz w:val="28"/>
                <w:b/>
              </w:rPr>
              <w:t>五、</w:t>
            </w:r>
            <w:r>
              <w:rPr>
                <w:rFonts w:ascii="仿宋_GB2312" w:hAnsi="仿宋_GB2312" w:cs="仿宋_GB2312" w:eastAsia="仿宋_GB2312"/>
                <w:sz w:val="28"/>
                <w:b/>
              </w:rPr>
              <w:t>施工要求</w:t>
            </w:r>
          </w:p>
          <w:p>
            <w:pPr>
              <w:pStyle w:val="null3"/>
              <w:ind w:firstLine="560"/>
              <w:jc w:val="both"/>
            </w:pPr>
            <w:r>
              <w:rPr>
                <w:rFonts w:ascii="仿宋_GB2312" w:hAnsi="仿宋_GB2312" w:cs="仿宋_GB2312" w:eastAsia="仿宋_GB2312"/>
                <w:sz w:val="28"/>
              </w:rPr>
              <w:t>在施工期间，中标供应商必须注意施工人员的人身安全，加强安全措施，并对施工人员进行安全教育。</w:t>
            </w:r>
          </w:p>
          <w:p>
            <w:pPr>
              <w:pStyle w:val="null3"/>
              <w:jc w:val="both"/>
            </w:pPr>
            <w:r>
              <w:rPr>
                <w:rFonts w:ascii="仿宋_GB2312" w:hAnsi="仿宋_GB2312" w:cs="仿宋_GB2312" w:eastAsia="仿宋_GB2312"/>
                <w:sz w:val="28"/>
                <w:b/>
              </w:rPr>
              <w:t>六、</w:t>
            </w:r>
            <w:r>
              <w:rPr>
                <w:rFonts w:ascii="仿宋_GB2312" w:hAnsi="仿宋_GB2312" w:cs="仿宋_GB2312" w:eastAsia="仿宋_GB2312"/>
                <w:sz w:val="28"/>
                <w:b/>
              </w:rPr>
              <w:t>商务要求</w:t>
            </w:r>
          </w:p>
          <w:p>
            <w:pPr>
              <w:pStyle w:val="null3"/>
              <w:numPr>
                <w:ilvl w:val="0"/>
                <w:numId w:val="1"/>
              </w:numPr>
              <w:jc w:val="both"/>
            </w:pPr>
            <w:r>
              <w:rPr>
                <w:rFonts w:ascii="仿宋_GB2312" w:hAnsi="仿宋_GB2312" w:cs="仿宋_GB2312" w:eastAsia="仿宋_GB2312"/>
                <w:sz w:val="28"/>
              </w:rPr>
              <w:t>合同价款：</w:t>
            </w:r>
            <w:r>
              <w:rPr>
                <w:rFonts w:ascii="仿宋_GB2312" w:hAnsi="仿宋_GB2312" w:cs="仿宋_GB2312" w:eastAsia="仿宋_GB2312"/>
                <w:sz w:val="28"/>
              </w:rPr>
              <w:t>本项目为固定总价合同。</w:t>
            </w:r>
          </w:p>
          <w:p>
            <w:pPr>
              <w:pStyle w:val="null3"/>
              <w:numPr>
                <w:ilvl w:val="0"/>
                <w:numId w:val="1"/>
              </w:numPr>
              <w:jc w:val="both"/>
            </w:pPr>
            <w:r>
              <w:rPr>
                <w:rFonts w:ascii="仿宋_GB2312" w:hAnsi="仿宋_GB2312" w:cs="仿宋_GB2312" w:eastAsia="仿宋_GB2312"/>
                <w:sz w:val="28"/>
              </w:rPr>
              <w:t>款项结算：</w:t>
            </w:r>
          </w:p>
          <w:p>
            <w:pPr>
              <w:pStyle w:val="null3"/>
              <w:jc w:val="both"/>
            </w:pPr>
            <w:r>
              <w:rPr>
                <w:rFonts w:ascii="仿宋_GB2312" w:hAnsi="仿宋_GB2312" w:cs="仿宋_GB2312" w:eastAsia="仿宋_GB2312"/>
                <w:sz w:val="28"/>
              </w:rPr>
              <w:t xml:space="preserve">  合同签订乙方进场后，甲方向乙方支付合同总价款的</w:t>
            </w:r>
            <w:r>
              <w:rPr>
                <w:rFonts w:ascii="仿宋_GB2312" w:hAnsi="仿宋_GB2312" w:cs="仿宋_GB2312" w:eastAsia="仿宋_GB2312"/>
                <w:sz w:val="28"/>
              </w:rPr>
              <w:t>40%作为预付款 ；工程完工后，甲方组织有关部门验收合格后，支付至合同总价款的80%；工程结算审核完成后支付至工程审核价款的100%。</w:t>
            </w:r>
          </w:p>
          <w:p>
            <w:pPr>
              <w:pStyle w:val="null3"/>
              <w:ind w:left="420"/>
              <w:jc w:val="both"/>
            </w:pPr>
            <w:r>
              <w:rPr>
                <w:rFonts w:ascii="仿宋_GB2312" w:hAnsi="仿宋_GB2312" w:cs="仿宋_GB2312" w:eastAsia="仿宋_GB2312"/>
                <w:sz w:val="28"/>
                <w:b/>
              </w:rPr>
              <w:t>七、</w:t>
            </w:r>
            <w:r>
              <w:rPr>
                <w:rFonts w:ascii="仿宋_GB2312" w:hAnsi="仿宋_GB2312" w:cs="仿宋_GB2312" w:eastAsia="仿宋_GB2312"/>
                <w:sz w:val="28"/>
                <w:b/>
              </w:rPr>
              <w:t>其他</w:t>
            </w:r>
          </w:p>
          <w:p>
            <w:pPr>
              <w:pStyle w:val="null3"/>
              <w:numPr>
                <w:ilvl w:val="0"/>
                <w:numId w:val="1"/>
              </w:numPr>
              <w:jc w:val="both"/>
            </w:pPr>
            <w:r>
              <w:rPr>
                <w:rFonts w:ascii="仿宋_GB2312" w:hAnsi="仿宋_GB2312" w:cs="仿宋_GB2312" w:eastAsia="仿宋_GB2312"/>
                <w:sz w:val="28"/>
              </w:rPr>
              <w:t>对供应商的业绩要求</w:t>
            </w:r>
          </w:p>
          <w:p>
            <w:pPr>
              <w:pStyle w:val="null3"/>
              <w:ind w:left="420" w:firstLine="504"/>
              <w:jc w:val="both"/>
            </w:pPr>
            <w:r>
              <w:rPr>
                <w:rFonts w:ascii="仿宋_GB2312" w:hAnsi="仿宋_GB2312" w:cs="仿宋_GB2312" w:eastAsia="仿宋_GB2312"/>
                <w:sz w:val="28"/>
              </w:rPr>
              <w:t>提供</w:t>
            </w:r>
            <w:r>
              <w:rPr>
                <w:rFonts w:ascii="仿宋_GB2312" w:hAnsi="仿宋_GB2312" w:cs="仿宋_GB2312" w:eastAsia="仿宋_GB2312"/>
                <w:sz w:val="28"/>
              </w:rPr>
              <w:t>20</w:t>
            </w:r>
            <w:r>
              <w:rPr>
                <w:rFonts w:ascii="仿宋_GB2312" w:hAnsi="仿宋_GB2312" w:cs="仿宋_GB2312" w:eastAsia="仿宋_GB2312"/>
                <w:sz w:val="28"/>
              </w:rPr>
              <w:t>22</w:t>
            </w:r>
            <w:r>
              <w:rPr>
                <w:rFonts w:ascii="仿宋_GB2312" w:hAnsi="仿宋_GB2312" w:cs="仿宋_GB2312" w:eastAsia="仿宋_GB2312"/>
                <w:sz w:val="28"/>
              </w:rPr>
              <w:t>年</w:t>
            </w:r>
            <w:r>
              <w:rPr>
                <w:rFonts w:ascii="仿宋_GB2312" w:hAnsi="仿宋_GB2312" w:cs="仿宋_GB2312" w:eastAsia="仿宋_GB2312"/>
                <w:sz w:val="28"/>
              </w:rPr>
              <w:t>5</w:t>
            </w:r>
            <w:r>
              <w:rPr>
                <w:rFonts w:ascii="仿宋_GB2312" w:hAnsi="仿宋_GB2312" w:cs="仿宋_GB2312" w:eastAsia="仿宋_GB2312"/>
                <w:sz w:val="28"/>
              </w:rPr>
              <w:t>月</w:t>
            </w:r>
            <w:r>
              <w:rPr>
                <w:rFonts w:ascii="仿宋_GB2312" w:hAnsi="仿宋_GB2312" w:cs="仿宋_GB2312" w:eastAsia="仿宋_GB2312"/>
                <w:sz w:val="28"/>
              </w:rPr>
              <w:t>1</w:t>
            </w:r>
            <w:r>
              <w:rPr>
                <w:rFonts w:ascii="仿宋_GB2312" w:hAnsi="仿宋_GB2312" w:cs="仿宋_GB2312" w:eastAsia="仿宋_GB2312"/>
                <w:sz w:val="28"/>
              </w:rPr>
              <w:t>日以来</w:t>
            </w:r>
            <w:r>
              <w:rPr>
                <w:rFonts w:ascii="仿宋_GB2312" w:hAnsi="仿宋_GB2312" w:cs="仿宋_GB2312" w:eastAsia="仿宋_GB2312"/>
                <w:sz w:val="28"/>
              </w:rPr>
              <w:t>类似</w:t>
            </w:r>
            <w:r>
              <w:rPr>
                <w:rFonts w:ascii="仿宋_GB2312" w:hAnsi="仿宋_GB2312" w:cs="仿宋_GB2312" w:eastAsia="仿宋_GB2312"/>
                <w:sz w:val="28"/>
              </w:rPr>
              <w:t>项目业绩，以合同签订日期为准，并加盖供应</w:t>
            </w:r>
            <w:r>
              <w:rPr>
                <w:rFonts w:ascii="仿宋_GB2312" w:hAnsi="仿宋_GB2312" w:cs="仿宋_GB2312" w:eastAsia="仿宋_GB2312"/>
                <w:sz w:val="28"/>
              </w:rPr>
              <w:t>商公章的合同关键页复印件。</w:t>
            </w:r>
          </w:p>
          <w:p>
            <w:pPr>
              <w:pStyle w:val="null3"/>
              <w:numPr>
                <w:ilvl w:val="0"/>
                <w:numId w:val="1"/>
              </w:numPr>
              <w:jc w:val="both"/>
            </w:pPr>
            <w:r>
              <w:rPr>
                <w:rFonts w:ascii="仿宋_GB2312" w:hAnsi="仿宋_GB2312" w:cs="仿宋_GB2312" w:eastAsia="仿宋_GB2312"/>
                <w:sz w:val="28"/>
              </w:rPr>
              <w:t>质量验收标准或规范</w:t>
            </w:r>
          </w:p>
          <w:p>
            <w:pPr>
              <w:pStyle w:val="null3"/>
              <w:ind w:left="420" w:firstLine="280"/>
              <w:jc w:val="both"/>
            </w:pPr>
            <w:r>
              <w:rPr>
                <w:rFonts w:ascii="仿宋_GB2312" w:hAnsi="仿宋_GB2312" w:cs="仿宋_GB2312" w:eastAsia="仿宋_GB2312"/>
                <w:sz w:val="28"/>
              </w:rPr>
              <w:t>质量标准：</w:t>
            </w:r>
            <w:r>
              <w:rPr>
                <w:rFonts w:ascii="仿宋_GB2312" w:hAnsi="仿宋_GB2312" w:cs="仿宋_GB2312" w:eastAsia="仿宋_GB2312"/>
                <w:sz w:val="28"/>
              </w:rPr>
              <w:t>达到国家规定的合格标准</w:t>
            </w:r>
          </w:p>
          <w:p>
            <w:pPr>
              <w:pStyle w:val="null3"/>
              <w:ind w:left="420" w:firstLine="280"/>
              <w:jc w:val="both"/>
            </w:pPr>
            <w:r>
              <w:rPr>
                <w:rFonts w:ascii="仿宋_GB2312" w:hAnsi="仿宋_GB2312" w:cs="仿宋_GB2312" w:eastAsia="仿宋_GB2312"/>
                <w:sz w:val="28"/>
              </w:rPr>
              <w:t>验收标准或规范：</w:t>
            </w:r>
            <w:r>
              <w:rPr>
                <w:rFonts w:ascii="仿宋_GB2312" w:hAnsi="仿宋_GB2312" w:cs="仿宋_GB2312" w:eastAsia="仿宋_GB2312"/>
                <w:sz w:val="28"/>
              </w:rPr>
              <w:t>达到国家标准，行业标准及采购人要求。</w:t>
            </w:r>
          </w:p>
          <w:p>
            <w:pPr>
              <w:pStyle w:val="null3"/>
              <w:numPr>
                <w:ilvl w:val="0"/>
                <w:numId w:val="1"/>
              </w:numPr>
              <w:jc w:val="both"/>
            </w:pPr>
            <w:r>
              <w:rPr>
                <w:rFonts w:ascii="仿宋_GB2312" w:hAnsi="仿宋_GB2312" w:cs="仿宋_GB2312" w:eastAsia="仿宋_GB2312"/>
                <w:sz w:val="28"/>
                <w:color w:val="000000"/>
              </w:rPr>
              <w:t>违约责任</w:t>
            </w:r>
          </w:p>
          <w:p>
            <w:pPr>
              <w:pStyle w:val="null3"/>
              <w:ind w:firstLine="560"/>
              <w:jc w:val="both"/>
            </w:pPr>
            <w:r>
              <w:rPr>
                <w:rFonts w:ascii="仿宋_GB2312" w:hAnsi="仿宋_GB2312" w:cs="仿宋_GB2312" w:eastAsia="仿宋_GB2312"/>
                <w:sz w:val="28"/>
              </w:rPr>
              <w:t>供应商</w:t>
            </w:r>
            <w:r>
              <w:rPr>
                <w:rFonts w:ascii="仿宋_GB2312" w:hAnsi="仿宋_GB2312" w:cs="仿宋_GB2312" w:eastAsia="仿宋_GB2312"/>
                <w:sz w:val="28"/>
              </w:rPr>
              <w:t>应按照合同规定的期限完成</w:t>
            </w:r>
            <w:r>
              <w:rPr>
                <w:rFonts w:ascii="仿宋_GB2312" w:hAnsi="仿宋_GB2312" w:cs="仿宋_GB2312" w:eastAsia="仿宋_GB2312"/>
                <w:sz w:val="28"/>
              </w:rPr>
              <w:t>工程</w:t>
            </w:r>
            <w:r>
              <w:rPr>
                <w:rFonts w:ascii="仿宋_GB2312" w:hAnsi="仿宋_GB2312" w:cs="仿宋_GB2312" w:eastAsia="仿宋_GB2312"/>
                <w:sz w:val="28"/>
              </w:rPr>
              <w:t>，每延迟一天应承担当期应付款</w:t>
            </w:r>
            <w:r>
              <w:rPr>
                <w:rFonts w:ascii="仿宋_GB2312" w:hAnsi="仿宋_GB2312" w:cs="仿宋_GB2312" w:eastAsia="仿宋_GB2312"/>
                <w:sz w:val="28"/>
              </w:rPr>
              <w:t>2%的违约金，违约金累计不超过当期应付款10%。若违约金累计已达上限，乙方仍未履行，甲方有权解除合同。</w:t>
            </w:r>
          </w:p>
          <w:p>
            <w:pPr>
              <w:pStyle w:val="null3"/>
              <w:numPr>
                <w:ilvl w:val="0"/>
                <w:numId w:val="1"/>
              </w:numPr>
              <w:jc w:val="both"/>
            </w:pPr>
            <w:r>
              <w:rPr>
                <w:rFonts w:ascii="仿宋_GB2312" w:hAnsi="仿宋_GB2312" w:cs="仿宋_GB2312" w:eastAsia="仿宋_GB2312"/>
                <w:sz w:val="28"/>
              </w:rPr>
              <w:t>与本工程相关的特别说明</w:t>
            </w:r>
          </w:p>
          <w:p>
            <w:pPr>
              <w:pStyle w:val="null3"/>
              <w:ind w:left="420"/>
              <w:jc w:val="both"/>
            </w:pPr>
            <w:r>
              <w:rPr>
                <w:rFonts w:ascii="仿宋_GB2312" w:hAnsi="仿宋_GB2312" w:cs="仿宋_GB2312" w:eastAsia="仿宋_GB2312"/>
                <w:sz w:val="28"/>
              </w:rPr>
              <w:t xml:space="preserve">   </w:t>
            </w:r>
            <w:r>
              <w:rPr>
                <w:rFonts w:ascii="仿宋_GB2312" w:hAnsi="仿宋_GB2312" w:cs="仿宋_GB2312" w:eastAsia="仿宋_GB2312"/>
                <w:sz w:val="28"/>
              </w:rPr>
              <w:t>无</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施工要求：在施工期间，成交供应商必须注意人员安全，加强安全措施，并对施工人员进行安全教育。施工人员必须持证上岗。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1、工期：合同签订之日起45个日历日。 2、付款方式：合同签订乙方进场后，甲方向乙方支付合同总价款的40%作为预付款 ；工程完工后，甲方组织有关部门验收合格后，支付至合同总价款的80%；工程结算审核完成后支付至工程审核价款的100%。3、缺陷责任期：1年。 4、建设地点：蓝田县焦岱镇柳家湾村。 5、各供应商应根据“陕西省财政厅 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2023年度/2024年度的经审计的财务报告（至少包括三表一注，成立时间至提交投标文件截止时间不足一年的可提供成立后任意时段的资产负债表），或招标前三个月内开户银行出具的资信证明（附开户许可证或开户银行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法定代表人参加投标时，提供法定代表人身份证明和本人身份证；授权代表参加投标时，提供法定代表人授权书和被授权人身份证；非法人单位参照执行；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须提供建设行政主管部门颁发市政公用工程施工总承包三级（含三级）及以上资质，并具有合格有效的安全生产许可证；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拟派项目经理资格要求</w:t>
            </w:r>
          </w:p>
        </w:tc>
        <w:tc>
          <w:tcPr>
            <w:tcW w:type="dxa" w:w="3322"/>
          </w:tcPr>
          <w:p>
            <w:pPr>
              <w:pStyle w:val="null3"/>
            </w:pPr>
            <w:r>
              <w:rPr>
                <w:rFonts w:ascii="仿宋_GB2312" w:hAnsi="仿宋_GB2312" w:cs="仿宋_GB2312" w:eastAsia="仿宋_GB2312"/>
              </w:rPr>
              <w:t>拟派项目经理须具备市政公用工程专业二级注册建造师及安全生产考核合格证书，在本单位注册且无在建工程和不良记录（提供无在建工程、无不良记录承诺书）；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供应商信用要求</w:t>
            </w:r>
          </w:p>
        </w:tc>
        <w:tc>
          <w:tcPr>
            <w:tcW w:type="dxa" w:w="3322"/>
          </w:tcPr>
          <w:p>
            <w:pPr>
              <w:pStyle w:val="null3"/>
            </w:pPr>
            <w:r>
              <w:rPr>
                <w:rFonts w:ascii="仿宋_GB2312" w:hAnsi="仿宋_GB2312" w:cs="仿宋_GB2312" w:eastAsia="仿宋_GB2312"/>
              </w:rPr>
              <w:t>（1）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在国家企业信用信息公示系统未被列入严重违法失信企业名单。（以采购代理机构在响应文件递交截止时间后当天查询记录为准）；（2）投标人在“全国建筑市场监管公共服务平台”可查询到企业及项目负责人基本信息； （3）出具参加本次政府采购活动前三年内在经营活动中没有重大违法记录的书面声明；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须提供2023年度/2024年度的经审计的财务报告（至少包括三表一注，成立时间至提交投标文件截止时间不足一年的可提供成立后任意时段的资产负债表），或招标前三个月内开户银行出具的资信证明（附开户许可证或开户银行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提供投标文件递交时间前一年内至少一个月已缴纳的纳税证明或完税证明凭据；其他组织和自然人提供响应文件递交时间前一年内至少一个月缴纳税收的凭据；依法免税的供应商应提供相关文件证明；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提供投标文件递交时间前一年内至少一个月已缴纳的社会保障资金的凭据（专用收据或社会保险缴纳清单）；依法不需要缴纳社会保障资金的供应商应提供相关文件证明；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提供非联合体磋商声明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响应文件封面 已标价工程量清单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按磋商文件要求签字，需盖章处按磋商文件要求盖章。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根据本项目的特点，制定施工方案（项目整体实施计划、项目实施重难点分析、对易发生质量通病，易出现安全问题，施工难度大，技术含量高的部分进行说明并给出施工保障措施和专项技术方案（含主要施工方法，组织措施，检验手段等）、项目实施流程、施工现场管理制度）：施工方案非常合理、条理清晰、计划安排合理有效：（8-12]分； 施工方案合理，可行性较高：（4-8]分；施工方案合理性差，可行性较差：（0-4]分。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供应商有针对本项目的质量保证体系及保证措施，根据质量保证体系及保证措施的完整性、严格度、规范化、详尽化及针对性等方面的响应情况进行综合评审。质量体系内容完善、科学，有针对性且保障措施合理可行，得(5-10]分；质量体系较完整，保障措施较合理，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供应商有针对本项目的安全生产体系及保证措施，根据安全生产体系及保证措施的完整性、科学性、规范化、详尽化及针对性等方面的响应情况进行综合评审。安全生产体系完善、科学，保障措施有针对性且合理可行，得(5-10]分；确保安全生产体系较完整，保证措施一般，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施工现场组织管理、文明施工，现场秩序良好，工完场清、道路畅通，设有安全防护标志、施工告示牌，确保安全生产施工体系相对完善、科学，保障措施有针对性，且合理可行，得(5-10]分；施工现场组织管理、文明施工，现场秩序完好，工完场清、道路畅通，设有安全防护标志、施工告示牌，确保安全生产施工体系体系较完整，有保证措施，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确保工期的技术组织措施及进度保障措施</w:t>
            </w:r>
          </w:p>
        </w:tc>
        <w:tc>
          <w:tcPr>
            <w:tcW w:type="dxa" w:w="2492"/>
          </w:tcPr>
          <w:p>
            <w:pPr>
              <w:pStyle w:val="null3"/>
            </w:pPr>
            <w:r>
              <w:rPr>
                <w:rFonts w:ascii="仿宋_GB2312" w:hAnsi="仿宋_GB2312" w:cs="仿宋_GB2312" w:eastAsia="仿宋_GB2312"/>
              </w:rPr>
              <w:t>确保工期的技术组织措施科学、切实可行，进度保障措施描述完整、可操作性强、细节描述优越，得(4-8]分；有确保工期及进度的措施，但保障措施内容简单，针对性一般，得(0-4]分。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项目组织管理机构及人员施工组织安排</w:t>
            </w:r>
          </w:p>
        </w:tc>
        <w:tc>
          <w:tcPr>
            <w:tcW w:type="dxa" w:w="2492"/>
          </w:tcPr>
          <w:p>
            <w:pPr>
              <w:pStyle w:val="null3"/>
            </w:pPr>
            <w:r>
              <w:rPr>
                <w:rFonts w:ascii="仿宋_GB2312" w:hAnsi="仿宋_GB2312" w:cs="仿宋_GB2312" w:eastAsia="仿宋_GB2312"/>
              </w:rPr>
              <w:t>组织机构健全，有完善的岗位制度和岗位职责，人员安排合理、分工明确，可操作性强：(4-8]分；组织机构较健全，有较完善的岗位制度和岗位职责，人员安排及分工较为合理，具有一定的操作性：(0-4]分。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工程投入的主要施 工机械设备情况、 主要施工机械进场 计划</w:t>
            </w:r>
          </w:p>
        </w:tc>
        <w:tc>
          <w:tcPr>
            <w:tcW w:type="dxa" w:w="2492"/>
          </w:tcPr>
          <w:p>
            <w:pPr>
              <w:pStyle w:val="null3"/>
            </w:pPr>
            <w:r>
              <w:rPr>
                <w:rFonts w:ascii="仿宋_GB2312" w:hAnsi="仿宋_GB2312" w:cs="仿宋_GB2312" w:eastAsia="仿宋_GB2312"/>
              </w:rPr>
              <w:t>内容完整、计划合理得 （2-4]分,内容基本完整、计划比较合理得(1-2] 分,内容不够完整、计划欠缺得 (0-1]分。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根据供应商的后期服务承诺及服务内容，由磋商小组成员自主赋分，(0-2]分；未提供不得分。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提供2022年5月1日至今完成过的类似工程项目业绩。每提供一个业绩证明得 2分，最多得6分。（以完整合同复印件为准，时间以合同签订日期为准）。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 注：经评委一致认定，供应商的磋商最终总报价低于公认市场成本，或超过采购预算,其磋商响应将被拒绝。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详见附件：合同范本（总包合同）(2).docx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