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版本号：SXZCZB2025-ZCCS-051320250507001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玉山镇车贺村村内排水渠工程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SXZCZB2025-ZCCS-0513</w:t>
      </w:r>
      <w:r>
        <w:br/>
      </w:r>
      <w:r>
        <w:br/>
      </w:r>
      <w:r>
        <w:br/>
      </w:r>
    </w:p>
    <w:p>
      <w:pPr>
        <w:pStyle w:val="null3"/>
        <w:jc w:val="center"/>
        <w:outlineLvl w:val="2"/>
      </w:pPr>
      <w:r>
        <w:rPr>
          <w:rFonts w:ascii="仿宋_GB2312" w:hAnsi="仿宋_GB2312" w:cs="仿宋_GB2312" w:eastAsia="仿宋_GB2312"/>
          <w:sz w:val="28"/>
          <w:b/>
        </w:rPr>
        <w:t>西安市蓝田县玉山镇人民政府（本级）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西安市蓝田县玉山镇人民政府（本级）</w:t>
      </w:r>
      <w:r>
        <w:rPr>
          <w:rFonts w:ascii="仿宋_GB2312" w:hAnsi="仿宋_GB2312" w:cs="仿宋_GB2312" w:eastAsia="仿宋_GB2312"/>
        </w:rPr>
        <w:t>委托，拟对</w:t>
      </w:r>
      <w:r>
        <w:rPr>
          <w:rFonts w:ascii="仿宋_GB2312" w:hAnsi="仿宋_GB2312" w:cs="仿宋_GB2312" w:eastAsia="仿宋_GB2312"/>
        </w:rPr>
        <w:t>玉山镇车贺村村内排水渠工程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SXZCZB2025-ZCCS-0513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玉山镇车贺村村内排水渠工程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玉山镇车贺村村内排水渠工程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采购包1（玉山镇车贺村村内排水渠工程）：属于专门面向中小企业采购。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1、投标主体资格证明：提供合格有效的法人或者其他组织的营业执照等证明文件，自然人的身份证明；</w:t>
      </w:r>
    </w:p>
    <w:p>
      <w:pPr>
        <w:pStyle w:val="null3"/>
      </w:pPr>
      <w:r>
        <w:rPr>
          <w:rFonts w:ascii="仿宋_GB2312" w:hAnsi="仿宋_GB2312" w:cs="仿宋_GB2312" w:eastAsia="仿宋_GB2312"/>
        </w:rPr>
        <w:t>2、法定代表人身份证明书或法定代表人授权委托书：提供法定代表人授权书（附法定代表人、被授权人身份证复印件），法定代表人直接参加投标，须提供法定代表人身份证明（附法定代表人身份证复印件）；</w:t>
      </w:r>
    </w:p>
    <w:p>
      <w:pPr>
        <w:pStyle w:val="null3"/>
      </w:pPr>
      <w:r>
        <w:rPr>
          <w:rFonts w:ascii="仿宋_GB2312" w:hAnsi="仿宋_GB2312" w:cs="仿宋_GB2312" w:eastAsia="仿宋_GB2312"/>
        </w:rPr>
        <w:t>3、财务状况证明：提供2023或2024年度的财务审计报告（成立时间至提交投标文件截止时间不足一年的可提供成立后任意时段的资产负债表），或投标文件递交截止日期前6个月内其基本开户银行出具的资信证明;</w:t>
      </w:r>
    </w:p>
    <w:p>
      <w:pPr>
        <w:pStyle w:val="null3"/>
      </w:pPr>
      <w:r>
        <w:rPr>
          <w:rFonts w:ascii="仿宋_GB2312" w:hAnsi="仿宋_GB2312" w:cs="仿宋_GB2312" w:eastAsia="仿宋_GB2312"/>
        </w:rPr>
        <w:t>4、税收缴纳证明：提供响应文件递交截止时间前一年内已缴纳的至少一个月的纳税证明或完税证明（任意税种），依法免税的单位应提供相关证明材料；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响应文件递交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7、项目经理：供应商拟派项目经理须具备行业主管部门颁发的市政公用工程专业二级及以上建造师资质及有效的安全生产考核合格证书（建安B证），在本单位注册且无在建工程（提供承诺）；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8、承诺书：提供具有履行本合同所必需的设备和专业技术能力的说明及承诺书；</w:t>
      </w:r>
    </w:p>
    <w:p>
      <w:pPr>
        <w:pStyle w:val="null3"/>
      </w:pPr>
      <w:r>
        <w:rPr>
          <w:rFonts w:ascii="仿宋_GB2312" w:hAnsi="仿宋_GB2312" w:cs="仿宋_GB2312" w:eastAsia="仿宋_GB2312"/>
        </w:rPr>
        <w:t>9、书面声明：参加政府采购活动前3年内，在经营活动中没有重大违法记录的书面声明；</w:t>
      </w:r>
    </w:p>
    <w:p>
      <w:pPr>
        <w:pStyle w:val="null3"/>
      </w:pPr>
      <w:r>
        <w:rPr>
          <w:rFonts w:ascii="仿宋_GB2312" w:hAnsi="仿宋_GB2312" w:cs="仿宋_GB2312" w:eastAsia="仿宋_GB2312"/>
        </w:rPr>
        <w:t>10、供应商信誉证明：提供在参加政府采购活动前3年内在经营活动中没有重大违法记录，未被信用中国网 (www.creditchina.gov.cn) 列入失信被执行人、重大税收违法案件当事人名单，未被中国政府采购网(www. ccgp.gov.cn) 列入政府采购严重违法失信行为记录名单的书面声明；</w:t>
      </w:r>
    </w:p>
    <w:p>
      <w:pPr>
        <w:pStyle w:val="null3"/>
      </w:pPr>
      <w:r>
        <w:rPr>
          <w:rFonts w:ascii="仿宋_GB2312" w:hAnsi="仿宋_GB2312" w:cs="仿宋_GB2312" w:eastAsia="仿宋_GB2312"/>
        </w:rPr>
        <w:t>11、中小企业声明函：供应商须提供中小企业声明函；</w:t>
      </w:r>
    </w:p>
    <w:p>
      <w:pPr>
        <w:pStyle w:val="null3"/>
      </w:pPr>
      <w:r>
        <w:rPr>
          <w:rFonts w:ascii="仿宋_GB2312" w:hAnsi="仿宋_GB2312" w:cs="仿宋_GB2312" w:eastAsia="仿宋_GB2312"/>
        </w:rPr>
        <w:t>12、本项目不接受联合体磋商：提供非联合体承诺书。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西安市蓝田县玉山镇人民政府（本级）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陕西省西安市蓝田县玉山镇政府街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刘文鹏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15809251197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倪沛、胡晓钧、王欣玫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采购包1：869,700.00元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代理服务费收费标准：1、本项目收取代理服务费 代理服务费用收取对象：中标/成交供应商 代理服务费收费标准：按国家计委颁发的《招标代理服务收费管理暂行办法》（计价格[2002]1980号）和国家发展改革委员会办公厅颁发的《关于招标代理服务收费有关问题的通知》（发改办价格[2003]857号）的有关规定执行。 2、代理服务费账户： 采购代理机构开户名称：陕西至诚项目管理集团有限公司 开户行名称：中国建设银行股份有限公司西安高新技术产业开发区支行 账号：61050192090000002152 请各供应商按照要求将服务费汇入以上指定账户，如因自身原因发生错误，产生的不利后果均由供应商自行承担。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西安市蓝田县玉山镇人民政府（本级）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西安市蓝田县玉山镇人民政府（本级）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西安市蓝田县玉山镇人民政府（本级）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联系人：倪沛、胡晓钧、王欣玫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869,700.00</w:t>
      </w:r>
    </w:p>
    <w:p>
      <w:pPr>
        <w:pStyle w:val="null3"/>
      </w:pPr>
      <w:r>
        <w:rPr>
          <w:rFonts w:ascii="仿宋_GB2312" w:hAnsi="仿宋_GB2312" w:cs="仿宋_GB2312" w:eastAsia="仿宋_GB2312"/>
        </w:rPr>
        <w:t>采购包最高限价（元）: 869,700.00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玉山镇车贺村村内排水渠工程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869,700.00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标的名称：玉山镇车贺村村内排水渠工程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一、项目名称：玉山镇车贺村村内排水渠工程</w:t>
            </w:r>
          </w:p>
          <w:p>
            <w:pPr>
              <w:pStyle w:val="null3"/>
              <w:jc w:val="both"/>
            </w:pPr>
            <w:r>
              <w:rPr>
                <w:rFonts w:ascii="仿宋_GB2312" w:hAnsi="仿宋_GB2312" w:cs="仿宋_GB2312" w:eastAsia="仿宋_GB2312"/>
                <w:sz w:val="24"/>
                <w:b/>
              </w:rPr>
              <w:t>二、计划工期：</w:t>
            </w:r>
            <w:r>
              <w:rPr>
                <w:rFonts w:ascii="仿宋_GB2312" w:hAnsi="仿宋_GB2312" w:cs="仿宋_GB2312" w:eastAsia="仿宋_GB2312"/>
                <w:sz w:val="24"/>
              </w:rPr>
              <w:t>自合同签订之日起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45</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b/>
              </w:rPr>
              <w:t>三、质保期：</w:t>
            </w: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b/>
              </w:rPr>
              <w:t>四、缺陷责任期：</w:t>
            </w:r>
            <w:r>
              <w:rPr>
                <w:rFonts w:ascii="仿宋_GB2312" w:hAnsi="仿宋_GB2312" w:cs="仿宋_GB2312" w:eastAsia="仿宋_GB2312"/>
                <w:sz w:val="24"/>
              </w:rPr>
              <w:t>自竣工验收之日起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五、付款条件及比例：</w:t>
            </w:r>
          </w:p>
          <w:p>
            <w:pPr>
              <w:pStyle w:val="null3"/>
              <w:jc w:val="left"/>
            </w:pPr>
            <w:r>
              <w:rPr>
                <w:rFonts w:ascii="仿宋_GB2312" w:hAnsi="仿宋_GB2312" w:cs="仿宋_GB2312" w:eastAsia="仿宋_GB2312"/>
                <w:sz w:val="24"/>
              </w:rPr>
              <w:t>1、合同签订后，甲方向乙方支付合同价款的40%作为预付款。</w:t>
            </w:r>
          </w:p>
          <w:p>
            <w:pPr>
              <w:pStyle w:val="null3"/>
              <w:jc w:val="left"/>
            </w:pPr>
            <w:r>
              <w:rPr>
                <w:rFonts w:ascii="仿宋_GB2312" w:hAnsi="仿宋_GB2312" w:cs="仿宋_GB2312" w:eastAsia="仿宋_GB2312"/>
                <w:sz w:val="24"/>
              </w:rPr>
              <w:t>2、乙方完成合同工程量65%时，甲方向乙方支付至合同总价款的65%作为工程进度款。</w:t>
            </w:r>
          </w:p>
          <w:p>
            <w:pPr>
              <w:pStyle w:val="null3"/>
              <w:jc w:val="left"/>
            </w:pPr>
            <w:r>
              <w:rPr>
                <w:rFonts w:ascii="仿宋_GB2312" w:hAnsi="仿宋_GB2312" w:cs="仿宋_GB2312" w:eastAsia="仿宋_GB2312"/>
                <w:sz w:val="24"/>
              </w:rPr>
              <w:t>3、乙方完成全部工程量时，经甲方组织有关部门验收合格后，支付至合同总价款的85%。</w:t>
            </w:r>
          </w:p>
          <w:p>
            <w:pPr>
              <w:pStyle w:val="null3"/>
              <w:jc w:val="both"/>
            </w:pPr>
            <w:r>
              <w:rPr>
                <w:rFonts w:ascii="仿宋_GB2312" w:hAnsi="仿宋_GB2312" w:cs="仿宋_GB2312" w:eastAsia="仿宋_GB2312"/>
                <w:sz w:val="24"/>
              </w:rPr>
              <w:t>4、经政府相关审计部门审计完成后，支付至审计结算价款的100%。</w:t>
            </w:r>
          </w:p>
          <w:p>
            <w:pPr>
              <w:pStyle w:val="null3"/>
              <w:jc w:val="left"/>
            </w:pPr>
            <w:r>
              <w:rPr>
                <w:rFonts w:ascii="仿宋_GB2312" w:hAnsi="仿宋_GB2312" w:cs="仿宋_GB2312" w:eastAsia="仿宋_GB2312"/>
                <w:sz w:val="24"/>
                <w:b/>
              </w:rPr>
              <w:t>六、质量要求：</w:t>
            </w:r>
            <w:r>
              <w:rPr>
                <w:rFonts w:ascii="仿宋_GB2312" w:hAnsi="仿宋_GB2312" w:cs="仿宋_GB2312" w:eastAsia="仿宋_GB2312"/>
                <w:sz w:val="24"/>
              </w:rPr>
              <w:t>达到国家现行行业施工验收规范</w:t>
            </w:r>
            <w:r>
              <w:rPr>
                <w:rFonts w:ascii="仿宋_GB2312" w:hAnsi="仿宋_GB2312" w:cs="仿宋_GB2312" w:eastAsia="仿宋_GB2312"/>
                <w:sz w:val="24"/>
              </w:rPr>
              <w:t>“合格”标准。</w:t>
            </w:r>
          </w:p>
          <w:p>
            <w:pPr>
              <w:pStyle w:val="null3"/>
              <w:jc w:val="left"/>
            </w:pPr>
            <w:r>
              <w:rPr>
                <w:rFonts w:ascii="仿宋_GB2312" w:hAnsi="仿宋_GB2312" w:cs="仿宋_GB2312" w:eastAsia="仿宋_GB2312"/>
                <w:sz w:val="24"/>
                <w:b/>
              </w:rPr>
              <w:t>七、合同定价方式：</w:t>
            </w:r>
            <w:r>
              <w:rPr>
                <w:rFonts w:ascii="仿宋_GB2312" w:hAnsi="仿宋_GB2312" w:cs="仿宋_GB2312" w:eastAsia="仿宋_GB2312"/>
                <w:sz w:val="24"/>
              </w:rPr>
              <w:t>本合同价款采用</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b/>
                <w:u w:val="single"/>
              </w:rPr>
              <w:t>固定总价</w:t>
            </w:r>
            <w:r>
              <w:rPr>
                <w:rFonts w:ascii="仿宋_GB2312" w:hAnsi="仿宋_GB2312" w:cs="仿宋_GB2312" w:eastAsia="仿宋_GB2312"/>
                <w:sz w:val="24"/>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4"/>
              </w:rPr>
              <w:t>方式确定。</w:t>
            </w:r>
          </w:p>
          <w:p>
            <w:pPr>
              <w:pStyle w:val="null3"/>
              <w:jc w:val="left"/>
            </w:pPr>
            <w:r>
              <w:rPr>
                <w:rFonts w:ascii="仿宋_GB2312" w:hAnsi="仿宋_GB2312" w:cs="仿宋_GB2312" w:eastAsia="仿宋_GB2312"/>
                <w:sz w:val="24"/>
                <w:b/>
              </w:rPr>
              <w:t>八、编制说明</w:t>
            </w:r>
          </w:p>
          <w:p>
            <w:pPr>
              <w:pStyle w:val="null3"/>
              <w:ind w:firstLine="480"/>
              <w:jc w:val="both"/>
            </w:pPr>
            <w:r>
              <w:rPr>
                <w:rFonts w:ascii="仿宋_GB2312" w:hAnsi="仿宋_GB2312" w:cs="仿宋_GB2312" w:eastAsia="仿宋_GB2312"/>
                <w:sz w:val="24"/>
              </w:rPr>
              <w:t>1．《市政工程设计概算编制办法》建标【2011】1号，以下简称“编制办法”；</w:t>
            </w:r>
          </w:p>
          <w:p>
            <w:pPr>
              <w:pStyle w:val="null3"/>
            </w:pPr>
            <w:r>
              <w:rPr>
                <w:rFonts w:ascii="仿宋_GB2312" w:hAnsi="仿宋_GB2312" w:cs="仿宋_GB2312" w:eastAsia="仿宋_GB2312"/>
                <w:sz w:val="24"/>
              </w:rPr>
              <w:t xml:space="preserve">       2．《陕西省住房和城乡建设厅关于印发2009陕西省建设工程工程量清单计价依据的通知》（陕建发[2009]199号）；《关于增加建设工程扬尘治理专项措施费及综合人工单价调整的通知》（陕建发[2018]2019号）；《关于调整陕西省建设工程计价依据的通知》（陕建发 [2019]45号）；</w:t>
            </w:r>
          </w:p>
          <w:p>
            <w:pPr>
              <w:pStyle w:val="null3"/>
            </w:pPr>
            <w:r>
              <w:rPr>
                <w:rFonts w:ascii="仿宋_GB2312" w:hAnsi="仿宋_GB2312" w:cs="仿宋_GB2312" w:eastAsia="仿宋_GB2312"/>
                <w:sz w:val="24"/>
              </w:rPr>
              <w:t xml:space="preserve">       3．《陕西省建设工程工程量清单计价规则》（2009）、《陕西省建设工程工程量清单计价费率》（2009）及其配套文件中工程量计算办法；</w:t>
            </w:r>
          </w:p>
          <w:p>
            <w:pPr>
              <w:pStyle w:val="null3"/>
            </w:pPr>
            <w:r>
              <w:rPr>
                <w:rFonts w:ascii="仿宋_GB2312" w:hAnsi="仿宋_GB2312" w:cs="仿宋_GB2312" w:eastAsia="仿宋_GB2312"/>
                <w:sz w:val="24"/>
              </w:rPr>
              <w:t xml:space="preserve">       4．《陕西省建筑装饰工程消耗量定额》（2004）、《陕西省安装工程消耗量定额》（2004）、《陕西省市政工程消耗量定额》（2004）、《陕西省建设工程消耗量定额（2004）补充定额）》；</w:t>
            </w:r>
          </w:p>
          <w:p>
            <w:pPr>
              <w:pStyle w:val="null3"/>
            </w:pPr>
            <w:r>
              <w:rPr>
                <w:rFonts w:ascii="仿宋_GB2312" w:hAnsi="仿宋_GB2312" w:cs="仿宋_GB2312" w:eastAsia="仿宋_GB2312"/>
                <w:sz w:val="24"/>
              </w:rPr>
              <w:t xml:space="preserve">       5．《陕西省建设工程施工机械台班价目表》（2009）；</w:t>
            </w:r>
          </w:p>
          <w:p>
            <w:pPr>
              <w:pStyle w:val="null3"/>
            </w:pPr>
            <w:r>
              <w:rPr>
                <w:rFonts w:ascii="仿宋_GB2312" w:hAnsi="仿宋_GB2312" w:cs="仿宋_GB2312" w:eastAsia="仿宋_GB2312"/>
                <w:sz w:val="24"/>
              </w:rPr>
              <w:t xml:space="preserve">       6．依据住建部办公厅，关于调整建设工程计价依据增值税税率的通知（建办标函〔2019〕193号）；</w:t>
            </w:r>
          </w:p>
          <w:p>
            <w:pPr>
              <w:pStyle w:val="null3"/>
            </w:pPr>
            <w:r>
              <w:rPr>
                <w:rFonts w:ascii="仿宋_GB2312" w:hAnsi="仿宋_GB2312" w:cs="仿宋_GB2312" w:eastAsia="仿宋_GB2312"/>
                <w:sz w:val="24"/>
              </w:rPr>
              <w:t xml:space="preserve">       7．依据住建部办公厅，《关于做好建筑业营改增建设工程计价依据调整准备工作的通知》（建标办【2016】4号)；</w:t>
            </w:r>
          </w:p>
          <w:p>
            <w:pPr>
              <w:pStyle w:val="null3"/>
            </w:pPr>
            <w:r>
              <w:rPr>
                <w:rFonts w:ascii="仿宋_GB2312" w:hAnsi="仿宋_GB2312" w:cs="仿宋_GB2312" w:eastAsia="仿宋_GB2312"/>
                <w:sz w:val="24"/>
              </w:rPr>
              <w:t xml:space="preserve">       8．设计图纸：《蓝田县2025年度财政衔接补助资金(巩固衔接库)项目车贺村村内排水渠工程》；</w:t>
            </w:r>
          </w:p>
          <w:p>
            <w:pPr>
              <w:pStyle w:val="null3"/>
            </w:pPr>
            <w:r>
              <w:rPr>
                <w:rFonts w:ascii="仿宋_GB2312" w:hAnsi="仿宋_GB2312" w:cs="仿宋_GB2312" w:eastAsia="仿宋_GB2312"/>
                <w:sz w:val="24"/>
              </w:rPr>
              <w:t xml:space="preserve">       9．设计图中采用的相关施工规范及验收规范；</w:t>
            </w:r>
          </w:p>
          <w:p>
            <w:pPr>
              <w:pStyle w:val="null3"/>
            </w:pPr>
            <w:r>
              <w:rPr>
                <w:rFonts w:ascii="仿宋_GB2312" w:hAnsi="仿宋_GB2312" w:cs="仿宋_GB2312" w:eastAsia="仿宋_GB2312"/>
                <w:sz w:val="24"/>
                <w:b/>
              </w:rPr>
              <w:t>九、图纸与工程量清单不一致，以工程量清单为准。（如有）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 （4）本项目不统一组织踏勘。各投标供应商可自行前往采购人处实地踏勘，相关费用及安全由供应商自行承担。凡因对本项目现场及环境、市场行情等了解不清而造成的后果和风险，或因供应商对竞争性磋商文件阅读疏忽或误解，均由供应商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提供2023或2024年度经审计的财务报告（成立时间至提交磋商响应文件截止时间不足一年的可提供成立后任意时段的资产负债表），或磋商响应文件递交截止日前六个月内银行出具的资信证明。</w:t>
            </w:r>
          </w:p>
        </w:tc>
        <w:tc>
          <w:tcPr>
            <w:tcW w:type="dxa" w:w="1661"/>
          </w:tcPr>
          <w:p>
            <w:pPr>
              <w:pStyle w:val="null3"/>
            </w:pPr>
            <w:r>
              <w:rPr>
                <w:rFonts w:ascii="仿宋_GB2312" w:hAnsi="仿宋_GB2312" w:cs="仿宋_GB2312" w:eastAsia="仿宋_GB2312"/>
              </w:rPr>
              <w:t>已标价工程量清单 中小企业声明函 特定资格证明文件.docx 供应商应提交的相关资格证明材料 技术服务合同条款及其他商务要求应答表 磋商方案说明书.docx 响应文件封面 项目管理机构组成表 残疾人福利性单位声明函 报价函 标的清单 供应商类似项目业绩一览表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提供法定代表人授权书（附法定代表人、被授权人身份证复印件），法定代表人直接参加投标，须提供法定代表人身份证明（附法定代表人身份证复印件）；</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提供2023或2024年度的财务审计报告（成立时间至提交投标文件截止时间不足一年的可提供成立后任意时段的资产负债表），或投标文件递交截止日期前6个月内其基本开户银行出具的资信证明;</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 (www.creditchina.gov.cn) 列入失信被执行人、重大税收违法案件当事人名单，未被中国政府采购网(www. ccgp.gov.cn) 列入政府采购严重违法失信行为记录名单的书面声明；</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提供非联合体承诺书。</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报价函 标的清单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供应商类似项目业绩一览表 响应函 主要人员简历表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符合磋商文件给出的工程量清单范围和数量</w:t>
            </w:r>
          </w:p>
        </w:tc>
        <w:tc>
          <w:tcPr>
            <w:tcW w:type="dxa" w:w="1661"/>
          </w:tcPr>
          <w:p>
            <w:pPr>
              <w:pStyle w:val="null3"/>
            </w:pPr>
            <w:r>
              <w:rPr>
                <w:rFonts w:ascii="仿宋_GB2312" w:hAnsi="仿宋_GB2312" w:cs="仿宋_GB2312" w:eastAsia="仿宋_GB2312"/>
              </w:rPr>
              <w:t>已标价工程量清单 中小企业声明函 特定资格证明文件.docx 技术服务合同条款及其他商务要求应答表 供应商应提交的相关资格证明材料 磋商方案说明书.docx 强制优先采购产品承诺函 响应文件封面 项目管理机构组成表 残疾人福利性单位声明函 供应商类似项目业绩一览表 响应函 主要人员简历表 商务条款偏离表.docx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技术方案内容完全满足所有评审标准得8.5分；技术方案内容每有一处缺陷扣0.5分，扣完为止，不计负分；其他或未提供得0分。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8.5000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施工环保 、“治污减霾”措施计划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技术方案内容完全满足一项评审标准得2分，总分6分；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2022年04月01日（以合同签订日期为准）类似项目业绩（以合同复印件或扫描件加盖公章为准）每个有效业绩得1分，满分共计3分。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