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版本号：SXCC–[2025]–DL02320250509001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洩湖镇陈家沟村水毁路修复及道路硬化项目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SXCC–[2025]–DL023</w:t>
      </w:r>
      <w:r>
        <w:br/>
      </w:r>
      <w:r>
        <w:br/>
      </w:r>
      <w:r>
        <w:br/>
      </w:r>
    </w:p>
    <w:p>
      <w:pPr>
        <w:pStyle w:val="null3"/>
        <w:jc w:val="center"/>
        <w:outlineLvl w:val="2"/>
      </w:pPr>
      <w:r>
        <w:rPr>
          <w:rFonts w:ascii="仿宋_GB2312" w:hAnsi="仿宋_GB2312" w:cs="仿宋_GB2312" w:eastAsia="仿宋_GB2312"/>
          <w:sz w:val="28"/>
          <w:b/>
        </w:rPr>
        <w:t>蓝田县洩湖镇人民政府（本级）</w:t>
      </w:r>
    </w:p>
    <w:p>
      <w:pPr>
        <w:pStyle w:val="null3"/>
        <w:jc w:val="center"/>
        <w:outlineLvl w:val="2"/>
      </w:pPr>
      <w:r>
        <w:rPr>
          <w:rFonts w:ascii="仿宋_GB2312" w:hAnsi="仿宋_GB2312" w:cs="仿宋_GB2312" w:eastAsia="仿宋_GB2312"/>
          <w:sz w:val="28"/>
          <w:b/>
        </w:rPr>
        <w:t>陕西长城工程造价师事务所有限责任公司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陕西长城工程造价师事务所有限责任公司</w:t>
      </w:r>
      <w:r>
        <w:rPr>
          <w:rFonts w:ascii="仿宋_GB2312" w:hAnsi="仿宋_GB2312" w:cs="仿宋_GB2312" w:eastAsia="仿宋_GB2312"/>
        </w:rPr>
        <w:t>（以下简称“代理机构”）受</w:t>
      </w:r>
      <w:r>
        <w:rPr>
          <w:rFonts w:ascii="仿宋_GB2312" w:hAnsi="仿宋_GB2312" w:cs="仿宋_GB2312" w:eastAsia="仿宋_GB2312"/>
        </w:rPr>
        <w:t>蓝田县洩湖镇人民政府（本级）</w:t>
      </w:r>
      <w:r>
        <w:rPr>
          <w:rFonts w:ascii="仿宋_GB2312" w:hAnsi="仿宋_GB2312" w:cs="仿宋_GB2312" w:eastAsia="仿宋_GB2312"/>
        </w:rPr>
        <w:t>委托，拟对</w:t>
      </w:r>
      <w:r>
        <w:rPr>
          <w:rFonts w:ascii="仿宋_GB2312" w:hAnsi="仿宋_GB2312" w:cs="仿宋_GB2312" w:eastAsia="仿宋_GB2312"/>
        </w:rPr>
        <w:t>洩湖镇陈家沟村水毁路修复及道路硬化项目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SXCC–[2025]–DL023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洩湖镇陈家沟村水毁路修复及道路硬化项目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洩湖镇陈家沟村水毁路修复及道路硬化项目，主要建设内容新建水泥混凝土路面5180㎡，挖除破损路面451.5㎡，平面交叉3处(18cm水泥混凝土面层90㎡)，新建1-0.75钢筋混凝土圆管涵2道，提高村民的生产生活质量，方便出行，为建设乡村振兴打好基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采购包1（洩湖镇陈家沟村水毁路修复及道路硬化项目）：属于专门面向中小企业采购。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1、法定代表人授权书或法定代表人身份证明：法定代表人授权书（法定代表人直接参加投标，须提供法定代表人身份证明）</w:t>
      </w:r>
    </w:p>
    <w:p>
      <w:pPr>
        <w:pStyle w:val="null3"/>
      </w:pPr>
      <w:r>
        <w:rPr>
          <w:rFonts w:ascii="仿宋_GB2312" w:hAnsi="仿宋_GB2312" w:cs="仿宋_GB2312" w:eastAsia="仿宋_GB2312"/>
        </w:rPr>
        <w:t>2、拟派项目负责人资质和专业要求：投标供应商拟派项目经理须具备行业主管部门颁发的市政公用工程专业或公路工程专业二级及以上建造师资质及有效的安全生产考核合格证书（建安B证），在本单位注册且无在建工程</w:t>
      </w:r>
    </w:p>
    <w:p>
      <w:pPr>
        <w:pStyle w:val="null3"/>
      </w:pPr>
      <w:r>
        <w:rPr>
          <w:rFonts w:ascii="仿宋_GB2312" w:hAnsi="仿宋_GB2312" w:cs="仿宋_GB2312" w:eastAsia="仿宋_GB2312"/>
        </w:rPr>
        <w:t>3、资质要求：投标供应商须具备行业主管部门颁发的市政公用工程施工总承包三级及以上资质或公路工程施工总承包三级及以上资质并具有有效的安全生产许可证</w:t>
      </w:r>
    </w:p>
    <w:p>
      <w:pPr>
        <w:pStyle w:val="null3"/>
      </w:pPr>
      <w:r>
        <w:rPr>
          <w:rFonts w:ascii="仿宋_GB2312" w:hAnsi="仿宋_GB2312" w:cs="仿宋_GB2312" w:eastAsia="仿宋_GB2312"/>
        </w:rPr>
        <w:t>4、信用信息查询：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5、供应商基本信息及项目经理基本信息：投标供应商基本信息及项目经理基本信息应在“陕西建设网（http://js.shaanxi.gov.cn/ ）陕西省建筑市场监管与诚信信息发布平台”可查询</w:t>
      </w:r>
    </w:p>
    <w:p>
      <w:pPr>
        <w:pStyle w:val="null3"/>
      </w:pPr>
      <w:r>
        <w:rPr>
          <w:rFonts w:ascii="仿宋_GB2312" w:hAnsi="仿宋_GB2312" w:cs="仿宋_GB2312" w:eastAsia="仿宋_GB2312"/>
        </w:rPr>
        <w:t>6、承诺书：1、投标供应商不得在各级诚信信息平台被列为投标受限制的行为人（以承诺书为准）；2、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蓝田县洩湖镇人民政府（本级）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蓝田县洩湖镇洩湖街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029-82842003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陕西长城工程造价师事务所有限责任公司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蓝田县青灞路白鹿原管委会对面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谢毅潇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采购包1：979,500.00元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考国家计委颁布《招标代理服务收费管理暂行办法》（计价格[2002]1980号）和国家发展和改革委员会办公厅颁发的《关于招标代理服务收费有关问题的通知》（发改办价格[2003]857号）文件规定执行； 2.招标代理服务费由成交供应商支付，在领取《成交通知书》前，由成交供应商一次性支付给陕西长城工程造价师事务所有限责任公司。 招标代理服务费缴纳账户： 开户名称：陕西长城工程造价师事务所有限责任公司 开户银行：建行西安凤城二路支行 账 号：6105 0110 2637 0000 0190 注：成交公示结束后，成交供应商须提供纸质磋商响应文件 3 套及电子版 U 盘 1 个（内容与系统上传保持一致）交由采购代理机构。成交供应商对所提供资料的真实性、合法性、准确性、完整性负责，无需密封。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蓝田县洩湖镇人民政府（本级）</w:t>
      </w:r>
      <w:r>
        <w:rPr>
          <w:rFonts w:ascii="仿宋_GB2312" w:hAnsi="仿宋_GB2312" w:cs="仿宋_GB2312" w:eastAsia="仿宋_GB2312"/>
        </w:rPr>
        <w:t>和</w:t>
      </w:r>
      <w:r>
        <w:rPr>
          <w:rFonts w:ascii="仿宋_GB2312" w:hAnsi="仿宋_GB2312" w:cs="仿宋_GB2312" w:eastAsia="仿宋_GB2312"/>
        </w:rPr>
        <w:t>陕西长城工程造价师事务所有限责任公司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蓝田县洩湖镇人民政府（本级）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陕西长城工程造价师事务所有限责任公司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蓝田县洩湖镇人民政府（本级）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陕西长城工程造价师事务所有限责任公司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联系人：谢毅潇</w:t>
      </w:r>
    </w:p>
    <w:p>
      <w:pPr>
        <w:pStyle w:val="null3"/>
      </w:pPr>
      <w:r>
        <w:rPr>
          <w:rFonts w:ascii="仿宋_GB2312" w:hAnsi="仿宋_GB2312" w:cs="仿宋_GB2312" w:eastAsia="仿宋_GB2312"/>
        </w:rPr>
        <w:t>联系电话：029-82722200</w:t>
      </w:r>
    </w:p>
    <w:p>
      <w:pPr>
        <w:pStyle w:val="null3"/>
      </w:pPr>
      <w:r>
        <w:rPr>
          <w:rFonts w:ascii="仿宋_GB2312" w:hAnsi="仿宋_GB2312" w:cs="仿宋_GB2312" w:eastAsia="仿宋_GB2312"/>
        </w:rPr>
        <w:t>地址：蓝田县青灞路白鹿原管委会对面</w:t>
      </w:r>
    </w:p>
    <w:p>
      <w:pPr>
        <w:pStyle w:val="null3"/>
      </w:pPr>
      <w:r>
        <w:rPr>
          <w:rFonts w:ascii="仿宋_GB2312" w:hAnsi="仿宋_GB2312" w:cs="仿宋_GB2312" w:eastAsia="仿宋_GB2312"/>
        </w:rPr>
        <w:t>邮编：710500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979,500.00</w:t>
      </w:r>
    </w:p>
    <w:p>
      <w:pPr>
        <w:pStyle w:val="null3"/>
      </w:pPr>
      <w:r>
        <w:rPr>
          <w:rFonts w:ascii="仿宋_GB2312" w:hAnsi="仿宋_GB2312" w:cs="仿宋_GB2312" w:eastAsia="仿宋_GB2312"/>
        </w:rPr>
        <w:t>采购包最高限价（元）: 979,500.00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洩湖镇陈家沟村水毁路修复及道路硬化项目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979,500.00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标的名称：洩湖镇陈家沟村水毁路修复及道路硬化项目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一、项目概况</w:t>
            </w:r>
          </w:p>
          <w:p>
            <w:pPr>
              <w:pStyle w:val="null3"/>
              <w:spacing w:before="105" w:after="105"/>
              <w:ind w:firstLine="560"/>
              <w:jc w:val="both"/>
            </w:pPr>
            <w:r>
              <w:rPr>
                <w:rFonts w:ascii="仿宋_GB2312" w:hAnsi="仿宋_GB2312" w:cs="仿宋_GB2312" w:eastAsia="仿宋_GB2312"/>
                <w:sz w:val="24"/>
                <w:color w:val="000000"/>
                <w:shd w:fill="FFFFFF" w:val="clear"/>
              </w:rPr>
              <w:t>本项目为洩湖镇陈家沟村水毁路修复及道路硬化项目，主要建设内容新建水泥混凝土路面</w:t>
            </w:r>
            <w:r>
              <w:rPr>
                <w:rFonts w:ascii="仿宋_GB2312" w:hAnsi="仿宋_GB2312" w:cs="仿宋_GB2312" w:eastAsia="仿宋_GB2312"/>
                <w:sz w:val="24"/>
                <w:color w:val="000000"/>
                <w:shd w:fill="FFFFFF" w:val="clear"/>
              </w:rPr>
              <w:t>5180㎡，挖除破损路面451.5㎡，平面交叉3处(18cm水泥混凝土面层90㎡)，新建1-0.75钢筋混凝土圆管涵2道</w:t>
            </w:r>
            <w:r>
              <w:rPr>
                <w:rFonts w:ascii="仿宋_GB2312" w:hAnsi="仿宋_GB2312" w:cs="仿宋_GB2312" w:eastAsia="仿宋_GB2312"/>
                <w:sz w:val="24"/>
                <w:shd w:fill="FFFFFF" w:val="clear"/>
              </w:rPr>
              <w:t>，提高村民的生产生活质量，方便出行，为建设乡村振兴打好基础</w:t>
            </w:r>
            <w:r>
              <w:rPr>
                <w:rFonts w:ascii="仿宋_GB2312" w:hAnsi="仿宋_GB2312" w:cs="仿宋_GB2312" w:eastAsia="仿宋_GB2312"/>
                <w:sz w:val="24"/>
                <w:color w:val="000000"/>
                <w:shd w:fill="FFFFFF" w:val="clear"/>
              </w:rPr>
              <w:t>。</w:t>
            </w:r>
            <w:r>
              <w:rPr>
                <w:rFonts w:ascii="仿宋_GB2312" w:hAnsi="仿宋_GB2312" w:cs="仿宋_GB2312" w:eastAsia="仿宋_GB2312"/>
                <w:sz w:val="24"/>
                <w:shd w:fill="FFFFFF" w:val="clear"/>
              </w:rPr>
              <w:t xml:space="preserve"> </w:t>
            </w:r>
          </w:p>
          <w:p>
            <w:pPr>
              <w:pStyle w:val="null3"/>
              <w:spacing w:before="105" w:after="105"/>
              <w:jc w:val="both"/>
            </w:pPr>
            <w:r>
              <w:rPr>
                <w:rFonts w:ascii="仿宋_GB2312" w:hAnsi="仿宋_GB2312" w:cs="仿宋_GB2312" w:eastAsia="仿宋_GB2312"/>
                <w:sz w:val="24"/>
                <w:b/>
                <w:color w:val="000000"/>
              </w:rPr>
              <w:t>二、项目情况</w:t>
            </w:r>
          </w:p>
          <w:p>
            <w:pPr>
              <w:pStyle w:val="null3"/>
              <w:spacing w:before="105" w:after="105"/>
              <w:ind w:firstLine="562"/>
              <w:jc w:val="both"/>
            </w:pPr>
            <w:r>
              <w:rPr>
                <w:rFonts w:ascii="仿宋_GB2312" w:hAnsi="仿宋_GB2312" w:cs="仿宋_GB2312" w:eastAsia="仿宋_GB2312"/>
                <w:sz w:val="24"/>
                <w:shd w:fill="FFFFFF" w:val="clear"/>
              </w:rPr>
              <w:t>1、工程内容：</w:t>
            </w:r>
            <w:r>
              <w:rPr>
                <w:rFonts w:ascii="仿宋_GB2312" w:hAnsi="仿宋_GB2312" w:cs="仿宋_GB2312" w:eastAsia="仿宋_GB2312"/>
                <w:sz w:val="24"/>
                <w:shd w:fill="FFFFFF" w:val="clear"/>
              </w:rPr>
              <w:t>新建水泥混凝土路面</w:t>
            </w:r>
            <w:r>
              <w:rPr>
                <w:rFonts w:ascii="仿宋_GB2312" w:hAnsi="仿宋_GB2312" w:cs="仿宋_GB2312" w:eastAsia="仿宋_GB2312"/>
                <w:sz w:val="24"/>
                <w:shd w:fill="FFFFFF" w:val="clear"/>
              </w:rPr>
              <w:t>5180㎡，挖除破损路面451.5㎡，平面交叉3处(18cm水泥混凝土面层90㎡)，新建1-0.75钢筋混凝土圆管涵2道。</w:t>
            </w:r>
          </w:p>
          <w:p>
            <w:pPr>
              <w:pStyle w:val="null3"/>
              <w:spacing w:before="105" w:after="105"/>
              <w:ind w:firstLine="562"/>
              <w:jc w:val="both"/>
            </w:pPr>
            <w:r>
              <w:rPr>
                <w:rFonts w:ascii="仿宋_GB2312" w:hAnsi="仿宋_GB2312" w:cs="仿宋_GB2312" w:eastAsia="仿宋_GB2312"/>
                <w:sz w:val="24"/>
                <w:shd w:fill="FFFFFF" w:val="clear"/>
              </w:rPr>
              <w:t>2、工程地点</w:t>
            </w:r>
            <w:r>
              <w:rPr>
                <w:rFonts w:ascii="仿宋_GB2312" w:hAnsi="仿宋_GB2312" w:cs="仿宋_GB2312" w:eastAsia="仿宋_GB2312"/>
                <w:sz w:val="24"/>
                <w:shd w:fill="FFFFFF" w:val="clear"/>
              </w:rPr>
              <w:t>：蓝田县洩湖镇陈家沟村。</w:t>
            </w:r>
          </w:p>
          <w:p>
            <w:pPr>
              <w:pStyle w:val="null3"/>
              <w:spacing w:before="105" w:after="105"/>
              <w:ind w:firstLine="562"/>
              <w:jc w:val="both"/>
            </w:pPr>
            <w:r>
              <w:rPr>
                <w:rFonts w:ascii="仿宋_GB2312" w:hAnsi="仿宋_GB2312" w:cs="仿宋_GB2312" w:eastAsia="仿宋_GB2312"/>
                <w:sz w:val="24"/>
                <w:shd w:fill="FFFFFF" w:val="clear"/>
              </w:rPr>
              <w:t>3、计划工期</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40日历天</w:t>
            </w:r>
          </w:p>
          <w:p>
            <w:pPr>
              <w:pStyle w:val="null3"/>
              <w:spacing w:before="105" w:after="105"/>
              <w:ind w:firstLine="562"/>
              <w:jc w:val="both"/>
            </w:pPr>
            <w:r>
              <w:rPr>
                <w:rFonts w:ascii="仿宋_GB2312" w:hAnsi="仿宋_GB2312" w:cs="仿宋_GB2312" w:eastAsia="仿宋_GB2312"/>
                <w:sz w:val="24"/>
                <w:shd w:fill="FFFFFF" w:val="clear"/>
              </w:rPr>
              <w:t>4、缺陷责任期</w:t>
            </w:r>
            <w:r>
              <w:rPr>
                <w:rFonts w:ascii="仿宋_GB2312" w:hAnsi="仿宋_GB2312" w:cs="仿宋_GB2312" w:eastAsia="仿宋_GB2312"/>
                <w:sz w:val="24"/>
                <w:shd w:fill="FFFFFF" w:val="clear"/>
              </w:rPr>
              <w:t>：自竣工验收之日起</w:t>
            </w:r>
            <w:r>
              <w:rPr>
                <w:rFonts w:ascii="仿宋_GB2312" w:hAnsi="仿宋_GB2312" w:cs="仿宋_GB2312" w:eastAsia="仿宋_GB2312"/>
                <w:sz w:val="24"/>
                <w:shd w:fill="FFFFFF" w:val="clear"/>
              </w:rPr>
              <w:t>1年</w:t>
            </w:r>
          </w:p>
          <w:p>
            <w:pPr>
              <w:pStyle w:val="null3"/>
              <w:spacing w:before="105" w:after="105"/>
              <w:ind w:firstLine="562"/>
              <w:jc w:val="both"/>
            </w:pPr>
            <w:r>
              <w:rPr>
                <w:rFonts w:ascii="仿宋_GB2312" w:hAnsi="仿宋_GB2312" w:cs="仿宋_GB2312" w:eastAsia="仿宋_GB2312"/>
                <w:sz w:val="24"/>
                <w:shd w:fill="FFFFFF" w:val="clear"/>
              </w:rPr>
              <w:t>5、质量保修期</w:t>
            </w:r>
            <w:r>
              <w:rPr>
                <w:rFonts w:ascii="仿宋_GB2312" w:hAnsi="仿宋_GB2312" w:cs="仿宋_GB2312" w:eastAsia="仿宋_GB2312"/>
                <w:sz w:val="24"/>
                <w:shd w:fill="FFFFFF" w:val="clear"/>
              </w:rPr>
              <w:t>：不少于</w:t>
            </w:r>
            <w:r>
              <w:rPr>
                <w:rFonts w:ascii="仿宋_GB2312" w:hAnsi="仿宋_GB2312" w:cs="仿宋_GB2312" w:eastAsia="仿宋_GB2312"/>
                <w:sz w:val="24"/>
                <w:shd w:fill="FFFFFF" w:val="clear"/>
              </w:rPr>
              <w:t>12个月</w:t>
            </w:r>
          </w:p>
          <w:p>
            <w:pPr>
              <w:pStyle w:val="null3"/>
              <w:spacing w:before="105" w:after="105"/>
              <w:ind w:firstLine="562"/>
              <w:jc w:val="both"/>
            </w:pPr>
            <w:r>
              <w:rPr>
                <w:rFonts w:ascii="仿宋_GB2312" w:hAnsi="仿宋_GB2312" w:cs="仿宋_GB2312" w:eastAsia="仿宋_GB2312"/>
                <w:sz w:val="24"/>
                <w:shd w:fill="FFFFFF" w:val="clear"/>
              </w:rPr>
              <w:t>6、付款方式：</w:t>
            </w:r>
          </w:p>
          <w:p>
            <w:pPr>
              <w:pStyle w:val="null3"/>
              <w:spacing w:before="105" w:after="105"/>
              <w:ind w:firstLine="56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1）合同签订后，甲方向乙方支付合同价款的40%作为预付款。</w:t>
            </w:r>
          </w:p>
          <w:p>
            <w:pPr>
              <w:pStyle w:val="null3"/>
              <w:spacing w:before="105" w:after="105"/>
              <w:ind w:firstLine="56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2）工程竣工，验收合格后支付合同总价款的</w:t>
            </w:r>
            <w:r>
              <w:rPr>
                <w:rFonts w:ascii="仿宋_GB2312" w:hAnsi="仿宋_GB2312" w:cs="仿宋_GB2312" w:eastAsia="仿宋_GB2312"/>
                <w:sz w:val="24"/>
                <w:color w:val="000000"/>
                <w:shd w:fill="FFFFFF" w:val="clear"/>
              </w:rPr>
              <w:t>85%。</w:t>
            </w:r>
          </w:p>
          <w:p>
            <w:pPr>
              <w:pStyle w:val="null3"/>
              <w:spacing w:before="105" w:after="105"/>
              <w:ind w:firstLine="560"/>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3）审计部门审计完成后，支付至审计结算价款的97%，剩余3%待缺陷责任期满后一次性无息支付</w:t>
            </w:r>
            <w:r>
              <w:rPr>
                <w:rFonts w:ascii="仿宋_GB2312" w:hAnsi="仿宋_GB2312" w:cs="仿宋_GB2312" w:eastAsia="仿宋_GB2312"/>
                <w:sz w:val="24"/>
                <w:shd w:fill="FFFFFF" w:val="clear"/>
              </w:rPr>
              <w:t>。</w:t>
            </w:r>
          </w:p>
          <w:p>
            <w:pPr>
              <w:pStyle w:val="null3"/>
              <w:spacing w:before="105" w:after="105"/>
              <w:ind w:firstLine="562"/>
              <w:jc w:val="both"/>
            </w:pPr>
            <w:r>
              <w:rPr>
                <w:rFonts w:ascii="仿宋_GB2312" w:hAnsi="仿宋_GB2312" w:cs="仿宋_GB2312" w:eastAsia="仿宋_GB2312"/>
                <w:sz w:val="24"/>
                <w:b/>
              </w:rPr>
              <w:t>三、工程量清单和计价依据</w:t>
            </w:r>
          </w:p>
          <w:p>
            <w:pPr>
              <w:pStyle w:val="null3"/>
              <w:spacing w:before="105" w:after="105"/>
              <w:ind w:firstLine="560"/>
              <w:jc w:val="left"/>
            </w:pPr>
            <w:r>
              <w:rPr>
                <w:rFonts w:ascii="仿宋_GB2312" w:hAnsi="仿宋_GB2312" w:cs="仿宋_GB2312" w:eastAsia="仿宋_GB2312"/>
                <w:sz w:val="24"/>
              </w:rPr>
              <w:t>1、依据提供资料及答疑回复和项目相关的标准、规范等技术资料；</w:t>
            </w:r>
          </w:p>
          <w:p>
            <w:pPr>
              <w:pStyle w:val="null3"/>
              <w:spacing w:before="105" w:after="105"/>
              <w:ind w:firstLine="560"/>
              <w:jc w:val="left"/>
            </w:pPr>
            <w:r>
              <w:rPr>
                <w:rFonts w:ascii="仿宋_GB2312" w:hAnsi="仿宋_GB2312" w:cs="仿宋_GB2312" w:eastAsia="仿宋_GB2312"/>
                <w:sz w:val="24"/>
              </w:rPr>
              <w:t>2、依据《陕西省建设工程工程量清单计价规则》(2009)；</w:t>
            </w:r>
          </w:p>
          <w:p>
            <w:pPr>
              <w:pStyle w:val="null3"/>
              <w:spacing w:before="105" w:after="105"/>
              <w:ind w:firstLine="560"/>
              <w:jc w:val="both"/>
            </w:pPr>
            <w:r>
              <w:rPr>
                <w:rFonts w:ascii="仿宋_GB2312" w:hAnsi="仿宋_GB2312" w:cs="仿宋_GB2312" w:eastAsia="仿宋_GB2312"/>
                <w:sz w:val="24"/>
                <w:color w:val="000000"/>
              </w:rPr>
              <w:t>3、《关于调整陕西省建设工程计价依据的通知》（陕建发 【2019】45号文）；</w:t>
            </w:r>
          </w:p>
          <w:p>
            <w:pPr>
              <w:pStyle w:val="null3"/>
              <w:spacing w:before="105" w:after="105"/>
              <w:ind w:firstLine="560"/>
              <w:jc w:val="both"/>
            </w:pPr>
            <w:r>
              <w:rPr>
                <w:rFonts w:ascii="仿宋_GB2312" w:hAnsi="仿宋_GB2312" w:cs="仿宋_GB2312" w:eastAsia="仿宋_GB2312"/>
                <w:sz w:val="24"/>
                <w:color w:val="000000"/>
              </w:rPr>
              <w:t>4、《关于增加建设工程扬尘治理专项措施费》（陕建发【2017】270号文件）；</w:t>
            </w:r>
          </w:p>
          <w:p>
            <w:pPr>
              <w:pStyle w:val="null3"/>
              <w:spacing w:before="105" w:after="105"/>
              <w:ind w:firstLine="560"/>
              <w:jc w:val="both"/>
            </w:pPr>
            <w:r>
              <w:rPr>
                <w:rFonts w:ascii="仿宋_GB2312" w:hAnsi="仿宋_GB2312" w:cs="仿宋_GB2312" w:eastAsia="仿宋_GB2312"/>
                <w:sz w:val="24"/>
                <w:color w:val="000000"/>
              </w:rPr>
              <w:t>5、《关于发布我省落实建筑工人实名制管理计价依据的通知》 （陕建发【2019】1246号文件）；</w:t>
            </w:r>
          </w:p>
          <w:p>
            <w:pPr>
              <w:pStyle w:val="null3"/>
              <w:spacing w:before="105" w:after="105"/>
              <w:ind w:firstLine="560"/>
              <w:jc w:val="both"/>
            </w:pPr>
            <w:r>
              <w:rPr>
                <w:rFonts w:ascii="仿宋_GB2312" w:hAnsi="仿宋_GB2312" w:cs="仿宋_GB2312" w:eastAsia="仿宋_GB2312"/>
                <w:sz w:val="24"/>
                <w:color w:val="000000"/>
              </w:rPr>
              <w:t>6、《陕西省住房和城乡建设厅关于建筑施工安全生产责任保险费用计价的通知》（陕建发【2020】1097号文件）；</w:t>
            </w:r>
          </w:p>
          <w:p>
            <w:pPr>
              <w:pStyle w:val="null3"/>
              <w:spacing w:before="105" w:after="105"/>
              <w:ind w:firstLine="560"/>
              <w:jc w:val="both"/>
            </w:pPr>
            <w:r>
              <w:rPr>
                <w:rFonts w:ascii="仿宋_GB2312" w:hAnsi="仿宋_GB2312" w:cs="仿宋_GB2312" w:eastAsia="仿宋_GB2312"/>
                <w:sz w:val="24"/>
              </w:rPr>
              <w:t>7、正常施工组织设计及施工方法；</w:t>
            </w:r>
          </w:p>
          <w:p>
            <w:pPr>
              <w:pStyle w:val="null3"/>
              <w:spacing w:before="105" w:after="105"/>
              <w:ind w:firstLine="560"/>
              <w:jc w:val="both"/>
            </w:pPr>
            <w:r>
              <w:rPr>
                <w:rFonts w:ascii="仿宋_GB2312" w:hAnsi="仿宋_GB2312" w:cs="仿宋_GB2312" w:eastAsia="仿宋_GB2312"/>
                <w:sz w:val="24"/>
              </w:rPr>
              <w:t>8、与建设工程项目有关的标准、规范、图集、技术资料；</w:t>
            </w:r>
          </w:p>
          <w:p>
            <w:pPr>
              <w:pStyle w:val="null3"/>
              <w:spacing w:before="105" w:after="105"/>
              <w:ind w:firstLine="560"/>
              <w:jc w:val="both"/>
            </w:pPr>
            <w:r>
              <w:rPr>
                <w:rFonts w:ascii="仿宋_GB2312" w:hAnsi="仿宋_GB2312" w:cs="仿宋_GB2312" w:eastAsia="仿宋_GB2312"/>
                <w:sz w:val="24"/>
              </w:rPr>
              <w:t>9、设计图纸：《洩湖镇陈家沟村水毁路修复及道路硬化项目》设计图纸及图纸设计问题答疑。</w:t>
            </w:r>
          </w:p>
          <w:p>
            <w:pPr>
              <w:pStyle w:val="null3"/>
              <w:spacing w:before="105" w:after="105"/>
              <w:ind w:firstLine="562"/>
              <w:jc w:val="both"/>
            </w:pPr>
            <w:r>
              <w:rPr>
                <w:rFonts w:ascii="仿宋_GB2312" w:hAnsi="仿宋_GB2312" w:cs="仿宋_GB2312" w:eastAsia="仿宋_GB2312"/>
                <w:sz w:val="24"/>
                <w:b/>
              </w:rPr>
              <w:t>四、编制使用软件</w:t>
            </w:r>
          </w:p>
          <w:p>
            <w:pPr>
              <w:pStyle w:val="null3"/>
              <w:spacing w:before="105" w:after="105"/>
              <w:ind w:firstLine="562"/>
              <w:jc w:val="both"/>
            </w:pPr>
            <w:r>
              <w:rPr>
                <w:rFonts w:ascii="仿宋_GB2312" w:hAnsi="仿宋_GB2312" w:cs="仿宋_GB2312" w:eastAsia="仿宋_GB2312"/>
                <w:sz w:val="24"/>
              </w:rPr>
              <w:t>广联达云计价平台GCCP6.0版本6.4100.23.122</w:t>
            </w:r>
          </w:p>
          <w:p>
            <w:pPr>
              <w:pStyle w:val="null3"/>
              <w:ind w:firstLine="562"/>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(2)提供2023年或2024年度经审计的财务报告（成立时间至提交投标文件截止时间不足一年的可提供成立后任意时段的资产负债表），或投标截止时间前6个月内银行出具的资信证明； (3)提供投标文件递交截止日前一年内已缴纳的至少一个月的纳税证明或完税证明，依法免税的单位应提供相关证明材料； (4)提供投标文件递交截止日前一年内已缴存的至少一个月的社会保障资金缴存单据或社保机构开具的社会保险参保缴费情况证明，依法不需要缴纳社会保障资金的单位应提供相关证明材料；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提供2023年或2024年度经审计的财务报告（成立时间至提交投标文件截止时间不足一年的可提供成立后任意时段的资产负债表），或投标截止时间前6个月内银行出具的资信证明。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投标供应商拟派项目经理须具备行业主管部门颁发的市政公用工程专业或公路工程专业二级及以上建造师资质及有效的安全生产考核合格证书（建安B证），在本单位注册且无在建工程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投标供应商须具备行业主管部门颁发的市政公用工程施工总承包三级及以上资质或公路工程施工总承包三级及以上资质并具有有效的安全生产许可证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w:t>
            </w:r>
          </w:p>
        </w:tc>
        <w:tc>
          <w:tcPr>
            <w:tcW w:type="dxa" w:w="3322"/>
          </w:tcPr>
          <w:p>
            <w:pPr>
              <w:pStyle w:val="null3"/>
            </w:pPr>
            <w:r>
              <w:rPr>
                <w:rFonts w:ascii="仿宋_GB2312" w:hAnsi="仿宋_GB2312" w:cs="仿宋_GB2312" w:eastAsia="仿宋_GB2312"/>
              </w:rPr>
              <w:t>投标供应商基本信息及项目经理基本信息应在“陕西建设网（http://js.shaanxi.gov.cn/ ）陕西省建筑市场监管与诚信信息发布平台”可查询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1、投标供应商不得在各级诚信信息平台被列为投标受限制的行为人（以承诺书为准）；2、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已标价工程量清单.docx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按磋商文件要求签字，需盖章处按磋商文件要求盖章</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投标供应商提供2022年4月1日（以合同签订日期为准）至今的类似项目业绩，每提供一份得1分，最高得5分。(合同复印件加盖公章附在投标文件中，否则不作为评审依据）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拟投入本项目项目经理部人员及劳动力配置情况，明确负责人、人员组织、人员配备、人员职责等，方案完整，合理可行，得 5-7分；方案较完整，合理性及针对性一般，得 2-4分； 方案不完整，合理性及可行性差，得 0-1分；未提供不得分。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针对本项目制定本工程施工方案包括技术方案、安全方案、材料供应方案等，内容完备、科学、合理、针对性强得7-10分；内容较完备、合理、可行得3-6分；内容一般、基本可行得0-2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 项目进度计划和工期目标科学、合理、可行得7-10分； 项目进度计划和工期目标科学、合理性一般、可行性一般得3-6分； 项目进度计划和工期目标不科学、不合理、可行性较差得0-2分。未提供不得分。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项目质量保证体系及措施</w:t>
            </w:r>
          </w:p>
        </w:tc>
        <w:tc>
          <w:tcPr>
            <w:tcW w:type="dxa" w:w="2492"/>
          </w:tcPr>
          <w:p>
            <w:pPr>
              <w:pStyle w:val="null3"/>
            </w:pPr>
            <w:r>
              <w:rPr>
                <w:rFonts w:ascii="仿宋_GB2312" w:hAnsi="仿宋_GB2312" w:cs="仿宋_GB2312" w:eastAsia="仿宋_GB2312"/>
              </w:rPr>
              <w:t>针对本项目提供的项目质量保证体系及措施科学、合理、可行，满足采购人需求。 质量保证体系及措施科学、合理、可行得7-10分；质量保证体系及措施较科学、较合理、较可行得3-6分；质量保证体系及措施不科学、不合理、可行性较差得0-2分。未提供不得分。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应对紧急预案措施</w:t>
            </w:r>
          </w:p>
        </w:tc>
        <w:tc>
          <w:tcPr>
            <w:tcW w:type="dxa" w:w="2492"/>
          </w:tcPr>
          <w:p>
            <w:pPr>
              <w:pStyle w:val="null3"/>
            </w:pPr>
            <w:r>
              <w:rPr>
                <w:rFonts w:ascii="仿宋_GB2312" w:hAnsi="仿宋_GB2312" w:cs="仿宋_GB2312" w:eastAsia="仿宋_GB2312"/>
              </w:rPr>
              <w:t>施工过程中应对紧急预案措施： 措施方案具体、可行得7-8分； 措施方案基本合理、可行性一般得3-6分； 措施方案不合理、不可行得0-2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确保安全施工、文明施 工、降低环境污染的技术组织措施</w:t>
            </w:r>
          </w:p>
        </w:tc>
        <w:tc>
          <w:tcPr>
            <w:tcW w:type="dxa" w:w="2492"/>
          </w:tcPr>
          <w:p>
            <w:pPr>
              <w:pStyle w:val="null3"/>
            </w:pPr>
            <w:r>
              <w:rPr>
                <w:rFonts w:ascii="仿宋_GB2312" w:hAnsi="仿宋_GB2312" w:cs="仿宋_GB2312" w:eastAsia="仿宋_GB2312"/>
              </w:rPr>
              <w:t>文明施工及环境保护措施描述完整、可操作性强、细节描述详细得7-10分；文明施工及环境保护措施描述基本完整、可操作性一般、细节描述基本详细得3-6分；文明施工及环境保护措施描述不完整、可操作性不强、细节描述粗略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施工机械配备和材料投入计划：方案完整、合理可行，得 4-6 分；方案较完整，合理性及针对性一般，得 2-3分；方案不完整，合理性及可行性差，得 0-1 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根据供应商的后期服务承诺及服务内容，由磋商小组成员自主赋分，0-4分；未提供不得分。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