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版本号：DCZX2025-ZCCS-FW101620250509001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全民所有自然资源资产清查项目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DCZX2025-ZCCS-FW1016</w:t>
      </w:r>
      <w:r>
        <w:br/>
      </w:r>
      <w:r>
        <w:br/>
      </w:r>
      <w:r>
        <w:br/>
      </w:r>
    </w:p>
    <w:p>
      <w:pPr>
        <w:pStyle w:val="null3"/>
        <w:jc w:val="center"/>
        <w:outlineLvl w:val="2"/>
      </w:pPr>
      <w:r>
        <w:rPr>
          <w:rFonts w:ascii="仿宋_GB2312" w:hAnsi="仿宋_GB2312" w:cs="仿宋_GB2312" w:eastAsia="仿宋_GB2312"/>
          <w:sz w:val="28"/>
          <w:b/>
        </w:rPr>
        <w:t>蓝田县自然资源和规划局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蓝田县自然资源和规划局</w:t>
      </w:r>
      <w:r>
        <w:rPr>
          <w:rFonts w:ascii="仿宋_GB2312" w:hAnsi="仿宋_GB2312" w:cs="仿宋_GB2312" w:eastAsia="仿宋_GB2312"/>
        </w:rPr>
        <w:t>委托，拟对</w:t>
      </w:r>
      <w:r>
        <w:rPr>
          <w:rFonts w:ascii="仿宋_GB2312" w:hAnsi="仿宋_GB2312" w:cs="仿宋_GB2312" w:eastAsia="仿宋_GB2312"/>
        </w:rPr>
        <w:t>全民所有自然资源资产清查项目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全民所有自然资源资产清查项目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自然资源部关于全面开展全民所有自然资源资产清查工作的通知》（自然资发〔2024〕127号）、《陕西省自然资源厅关于印发&lt;陕西省全民所有自然资源资产清查实施方案&gt;的通知》（陕自然资发〔2024〕1247号）和《西安市自然资源和规划局关于转发&lt;陕西省全民所有自然资源资产清查实施方案&gt;的通知》等文件要求，开展蓝田县范围内的全民所有自然资源资产清查工作，于2026年6月之前完成2023年度和2025年度的资产清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采购包1（全民所有自然资源资产清查项目）：属于专门面向中小企业采购。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1、法定代表人授权书：法定代表人授权书（法定代表人直接参加磋商，须提供法定代表人身份证明）；</w:t>
      </w:r>
    </w:p>
    <w:p>
      <w:pPr>
        <w:pStyle w:val="null3"/>
      </w:pPr>
      <w:r>
        <w:rPr>
          <w:rFonts w:ascii="仿宋_GB2312" w:hAnsi="仿宋_GB2312" w:cs="仿宋_GB2312" w:eastAsia="仿宋_GB2312"/>
        </w:rPr>
        <w:t>2、企业资质：投标供应商需具备行业主管部门颁发的乙级及以上测绘资质。</w:t>
      </w:r>
    </w:p>
    <w:p>
      <w:pPr>
        <w:pStyle w:val="null3"/>
      </w:pPr>
      <w:r>
        <w:rPr>
          <w:rFonts w:ascii="仿宋_GB2312" w:hAnsi="仿宋_GB2312" w:cs="仿宋_GB2312" w:eastAsia="仿宋_GB2312"/>
        </w:rPr>
        <w:t>3、中小企业声明函：本项目专门面向中小企业采购，仅限符合《政府采购促进中小企业发展管理办法》的通知(财库〔2020〕46 号) 条件的中小企业参与，并提供中小企业声明函，残疾人福利企业、监狱企业视同小微企业。</w:t>
      </w:r>
    </w:p>
    <w:p>
      <w:pPr>
        <w:pStyle w:val="null3"/>
      </w:pPr>
      <w:r>
        <w:rPr>
          <w:rFonts w:ascii="仿宋_GB2312" w:hAnsi="仿宋_GB2312" w:cs="仿宋_GB2312" w:eastAsia="仿宋_GB2312"/>
        </w:rPr>
        <w:t>4、非联合体声明：本项目不接受联合体投标；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陕西省西安市蓝田县蓝新路7号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029-82751531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颁发的《招标代理服务收费管理暂行办法》（计价格[2002]1980号）和国家发展改革委员会办公厅颁发的《关于招标代理服务收费有关问题的通知》(发改办价格[2003]857号）的有关规定计取。 成交供应商在领取成交通知书前，须向采购代理机构一次性支付采购代理服务费。代理费缴存账户： 开户名称：陕西鼎成项目管理咨询有限公司 开户银行：中国民生银行西安枫林绿洲支行 账号：171277297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蓝田县自然资源和规划局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清查成果应通过数据质检工作，并逐级通过市级、省级、国家级成果核查，基础核查、数据内容核查、疑问图斑核查的各项核查内容结论均应达到“符合”标准。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自然资源部关于全面开展全民所有自然资源资产清查工作的通知》（自然资发〔2024〕127号）、《陕西省自然资源厅关于印发&lt;陕西省全民所有自然资源资产清查实施方案&gt;的通知》（陕自然资发〔2024〕1247号）和《西安市自然资源和规划局关于转发&lt;陕西省全民所有自然资源资产清查实施方案&gt;的通知》等文件要求，开展蓝田县范围内的全民所有自然资源资产清查工作，于2026年6月之前完成2023年度和2025年度的资产清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670,900.00</w:t>
      </w:r>
    </w:p>
    <w:p>
      <w:pPr>
        <w:pStyle w:val="null3"/>
      </w:pPr>
      <w:r>
        <w:rPr>
          <w:rFonts w:ascii="仿宋_GB2312" w:hAnsi="仿宋_GB2312" w:cs="仿宋_GB2312" w:eastAsia="仿宋_GB2312"/>
        </w:rPr>
        <w:t>采购包最高限价（元）: 670,900.00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670900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标的名称：670900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根据</w:t>
            </w:r>
            <w:r>
              <w:rPr>
                <w:rFonts w:ascii="仿宋_GB2312" w:hAnsi="仿宋_GB2312" w:cs="仿宋_GB2312" w:eastAsia="仿宋_GB2312"/>
                <w:sz w:val="24"/>
                <w:color w:val="000000"/>
              </w:rPr>
              <w:t>《自然资源部关于全面开展全民所有自然资源资产清查工作的通知》（自然资发〔</w:t>
            </w:r>
            <w:r>
              <w:rPr>
                <w:rFonts w:ascii="仿宋_GB2312" w:hAnsi="仿宋_GB2312" w:cs="仿宋_GB2312" w:eastAsia="仿宋_GB2312"/>
                <w:sz w:val="24"/>
                <w:color w:val="000000"/>
              </w:rPr>
              <w:t>2024〕127号）、《陕西省自然资源厅关于印发&lt;陕西省全民所有自然资源资产清查实施方案&gt;的通知》（陕自然资发〔2024〕1247号）和《西安市自然资源和规划局关于转发&lt;陕西省全民所有自然资源资产清查实施方案&gt;的通知》等文件要求，开展蓝田县范围内的全民所有自然资源资产清查工作，于2026年6月之前完成2023年度和2025年度的资产清查工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二、服务内容</w:t>
            </w:r>
          </w:p>
          <w:p>
            <w:pPr>
              <w:pStyle w:val="null3"/>
              <w:ind w:firstLine="480"/>
              <w:jc w:val="both"/>
            </w:pPr>
            <w:r>
              <w:rPr>
                <w:rFonts w:ascii="仿宋_GB2312" w:hAnsi="仿宋_GB2312" w:cs="仿宋_GB2312" w:eastAsia="仿宋_GB2312"/>
                <w:sz w:val="24"/>
                <w:color w:val="000000"/>
              </w:rPr>
              <w:t>蓝田县全民所有自然资源资产清查工作服务区域为蓝田县，主要工作内容包括四个方面：</w:t>
            </w:r>
            <w:r>
              <w:rPr>
                <w:rFonts w:ascii="仿宋_GB2312" w:hAnsi="仿宋_GB2312" w:cs="仿宋_GB2312" w:eastAsia="仿宋_GB2312"/>
                <w:sz w:val="24"/>
                <w:color w:val="000000"/>
              </w:rPr>
              <w:t>分别</w:t>
            </w:r>
            <w:r>
              <w:rPr>
                <w:rFonts w:ascii="仿宋_GB2312" w:hAnsi="仿宋_GB2312" w:cs="仿宋_GB2312" w:eastAsia="仿宋_GB2312"/>
                <w:sz w:val="24"/>
                <w:color w:val="000000"/>
              </w:rPr>
              <w:t>以</w:t>
            </w:r>
            <w:r>
              <w:rPr>
                <w:rFonts w:ascii="仿宋_GB2312" w:hAnsi="仿宋_GB2312" w:cs="仿宋_GB2312" w:eastAsia="仿宋_GB2312"/>
                <w:sz w:val="24"/>
                <w:color w:val="000000"/>
              </w:rPr>
              <w:t>2023年12月31日</w:t>
            </w:r>
            <w:r>
              <w:rPr>
                <w:rFonts w:ascii="仿宋_GB2312" w:hAnsi="仿宋_GB2312" w:cs="仿宋_GB2312" w:eastAsia="仿宋_GB2312"/>
                <w:sz w:val="24"/>
                <w:color w:val="000000"/>
              </w:rPr>
              <w:t>和</w:t>
            </w:r>
            <w:r>
              <w:rPr>
                <w:rFonts w:ascii="仿宋_GB2312" w:hAnsi="仿宋_GB2312" w:cs="仿宋_GB2312" w:eastAsia="仿宋_GB2312"/>
                <w:sz w:val="24"/>
                <w:color w:val="000000"/>
              </w:rPr>
              <w:t>2</w:t>
            </w:r>
            <w:r>
              <w:rPr>
                <w:rFonts w:ascii="仿宋_GB2312" w:hAnsi="仿宋_GB2312" w:cs="仿宋_GB2312" w:eastAsia="仿宋_GB2312"/>
                <w:sz w:val="24"/>
                <w:color w:val="000000"/>
              </w:rPr>
              <w:t>025年12月31日为基准时点，开展蓝田县域内全民所有自然资源资产实物量清查和经济价值核算工作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持续开展蓝田县域内各类全民所有自然资源使用权清查工作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持续开展蓝田县域内未确定使用权人国有建设用地资产清查。</w:t>
            </w:r>
          </w:p>
          <w:p>
            <w:pPr>
              <w:pStyle w:val="null3"/>
              <w:jc w:val="both"/>
            </w:pPr>
            <w:r>
              <w:rPr>
                <w:rFonts w:ascii="仿宋_GB2312" w:hAnsi="仿宋_GB2312" w:cs="仿宋_GB2312" w:eastAsia="仿宋_GB2312"/>
                <w:sz w:val="24"/>
                <w:b/>
              </w:rPr>
              <w:t>三、技术要求</w:t>
            </w:r>
          </w:p>
          <w:p>
            <w:pPr>
              <w:pStyle w:val="null3"/>
              <w:ind w:firstLine="482"/>
              <w:jc w:val="both"/>
            </w:pPr>
            <w:r>
              <w:rPr>
                <w:rFonts w:ascii="仿宋_GB2312" w:hAnsi="仿宋_GB2312" w:cs="仿宋_GB2312" w:eastAsia="仿宋_GB2312"/>
                <w:sz w:val="24"/>
                <w:b/>
                <w:color w:val="000000"/>
              </w:rPr>
              <w:t>（一）土地资源资产（不含林草湿）</w:t>
            </w:r>
          </w:p>
          <w:p>
            <w:pPr>
              <w:pStyle w:val="null3"/>
              <w:ind w:firstLine="480"/>
              <w:jc w:val="both"/>
            </w:pPr>
            <w:r>
              <w:rPr>
                <w:rFonts w:ascii="仿宋_GB2312" w:hAnsi="仿宋_GB2312" w:cs="仿宋_GB2312" w:eastAsia="仿宋_GB2312"/>
                <w:sz w:val="24"/>
                <w:color w:val="000000"/>
              </w:rPr>
              <w:t>1.实物量清查。以年度国土变更调查成果中的图斑为基本单元，结合集体土地所有权确权登记成果，提取权属性质为国有的图斑以及城镇开发边界内权属性质为集体的图斑，套合耕地质量分类年度更新与监测成果、园地分等定级等成果信息，形成土地资源资产实物量图层。</w:t>
            </w:r>
          </w:p>
          <w:p>
            <w:pPr>
              <w:pStyle w:val="null3"/>
              <w:ind w:firstLine="480"/>
              <w:jc w:val="both"/>
            </w:pPr>
            <w:r>
              <w:rPr>
                <w:rFonts w:ascii="仿宋_GB2312" w:hAnsi="仿宋_GB2312" w:cs="仿宋_GB2312" w:eastAsia="仿宋_GB2312"/>
                <w:sz w:val="24"/>
                <w:color w:val="000000"/>
              </w:rPr>
              <w:t>2.更新和完善资产清查价格体系。对于国有建设用地、耕地、园地、设施农用地、养殖坑塘等已建立省级资产清查价格的土地资源资产，需收集最新的建设用地、园地等农用地基准地价成果和价格信号样点，通过必要的修正和补充完善，更新至基准时点资产清查价格；对于未利用地资源资产，采用国家级资产清查价格。</w:t>
            </w:r>
          </w:p>
          <w:p>
            <w:pPr>
              <w:pStyle w:val="null3"/>
              <w:ind w:firstLine="480"/>
              <w:jc w:val="both"/>
            </w:pPr>
            <w:r>
              <w:rPr>
                <w:rFonts w:ascii="仿宋_GB2312" w:hAnsi="仿宋_GB2312" w:cs="仿宋_GB2312" w:eastAsia="仿宋_GB2312"/>
                <w:sz w:val="24"/>
                <w:color w:val="000000"/>
              </w:rPr>
              <w:t>3.价值量核算。按照国有建设用地、耕地、园地、设施农用地、养殖坑塘等自然资源资产价格，结合实物属性信息分类核算经济价值，形成土地资源资产价值量图层。</w:t>
            </w:r>
          </w:p>
          <w:p>
            <w:pPr>
              <w:pStyle w:val="null3"/>
              <w:ind w:firstLine="480"/>
              <w:jc w:val="both"/>
            </w:pPr>
            <w:r>
              <w:rPr>
                <w:rFonts w:ascii="仿宋_GB2312" w:hAnsi="仿宋_GB2312" w:cs="仿宋_GB2312" w:eastAsia="仿宋_GB2312"/>
                <w:sz w:val="24"/>
                <w:color w:val="000000"/>
              </w:rPr>
              <w:t>4.使用权清查。根据地籍调查成果中的宗地基本信息，提取国有宗地和相关属性信息，补充确权登记成果，土地市场动态监测与监管系统数据，结合国资委等部门有关国有企业存量土地摸底清查资料，重点理清国有建设用地使用权主体及其类型、来源、年期、权利变化、利用状况、合同价款等使用权信息，形成土地资源资产产权图层。</w:t>
            </w:r>
          </w:p>
          <w:p>
            <w:pPr>
              <w:pStyle w:val="null3"/>
              <w:ind w:firstLine="482"/>
              <w:jc w:val="both"/>
            </w:pPr>
            <w:r>
              <w:rPr>
                <w:rFonts w:ascii="仿宋_GB2312" w:hAnsi="仿宋_GB2312" w:cs="仿宋_GB2312" w:eastAsia="仿宋_GB2312"/>
                <w:sz w:val="24"/>
                <w:b/>
                <w:color w:val="000000"/>
              </w:rPr>
              <w:t>（二）矿产资源资产</w:t>
            </w:r>
          </w:p>
          <w:p>
            <w:pPr>
              <w:pStyle w:val="null3"/>
              <w:ind w:firstLine="480"/>
              <w:jc w:val="both"/>
            </w:pPr>
            <w:r>
              <w:rPr>
                <w:rFonts w:ascii="仿宋_GB2312" w:hAnsi="仿宋_GB2312" w:cs="仿宋_GB2312" w:eastAsia="仿宋_GB2312"/>
                <w:sz w:val="24"/>
                <w:color w:val="000000"/>
              </w:rPr>
              <w:t>1.实物量清查。从矿产资源储量数据库中提取出有储量的固体矿产资源、地热、矿泉水储量估算范围和中心点坐标，形成要素层，将储量数据库中的相应属性字段通过矿区编号挂接至对应要素层，形成矿产资源资产实物量图层。</w:t>
            </w:r>
          </w:p>
          <w:p>
            <w:pPr>
              <w:pStyle w:val="null3"/>
              <w:ind w:firstLine="480"/>
              <w:jc w:val="both"/>
            </w:pPr>
            <w:r>
              <w:rPr>
                <w:rFonts w:ascii="仿宋_GB2312" w:hAnsi="仿宋_GB2312" w:cs="仿宋_GB2312" w:eastAsia="仿宋_GB2312"/>
                <w:sz w:val="24"/>
                <w:color w:val="000000"/>
              </w:rPr>
              <w:t>2.更新和完善资产清查价格体系。收集2019-2023年矿山企业生产数据和财务数据，开展26种矿产资源省级资产清查价格更新，形成矿产资源资产清查价格空间化成果。对尚未建立省级资产清查价格的74种具有资源储量的矿产资源资产建立资产清查价格，分类开展测算。具有大中型生产矿山且资料收集完整的矿种，采用净现值法测算；只有小型生产矿山的矿种，优先采用净现值法测算，在条件不允许的情况下可采用系数比较调整法进行测算；没有生产矿山的矿种，可采用系数比较调整法或收入比例法进行测算，形成矿产资源资产清查价格矢量成果。</w:t>
            </w:r>
          </w:p>
          <w:p>
            <w:pPr>
              <w:pStyle w:val="null3"/>
              <w:ind w:firstLine="480"/>
              <w:jc w:val="both"/>
            </w:pPr>
            <w:r>
              <w:rPr>
                <w:rFonts w:ascii="仿宋_GB2312" w:hAnsi="仿宋_GB2312" w:cs="仿宋_GB2312" w:eastAsia="仿宋_GB2312"/>
                <w:sz w:val="24"/>
                <w:color w:val="000000"/>
              </w:rPr>
              <w:t>3.经济量核算。按照矿产资源资产价格体系，结合矿产资源实物量清查结果，分类核算经济价值，形成矿产资源资产价值量图层。</w:t>
            </w:r>
          </w:p>
          <w:p>
            <w:pPr>
              <w:pStyle w:val="null3"/>
              <w:ind w:firstLine="480"/>
              <w:jc w:val="both"/>
            </w:pPr>
            <w:r>
              <w:rPr>
                <w:rFonts w:ascii="仿宋_GB2312" w:hAnsi="仿宋_GB2312" w:cs="仿宋_GB2312" w:eastAsia="仿宋_GB2312"/>
                <w:sz w:val="24"/>
                <w:color w:val="000000"/>
              </w:rPr>
              <w:t>4.矿业权清查。对于有采矿权范围的矿业权，从全国矿业权登记信息及发布系统（矿业权管理部门行政记录）中提取矿权范围和中心点坐标，对于缺少采矿权范围信息的矿权，以矿权所在的最小行政单元中心点作为矿权坐标，形成要素层，根据许可证编号挂接矿业权人、开采方式、开发利用状况等属性信息，形成矿产资源资产产权图层。</w:t>
            </w:r>
          </w:p>
          <w:p>
            <w:pPr>
              <w:pStyle w:val="null3"/>
              <w:ind w:firstLine="482"/>
              <w:jc w:val="both"/>
            </w:pPr>
            <w:r>
              <w:rPr>
                <w:rFonts w:ascii="仿宋_GB2312" w:hAnsi="仿宋_GB2312" w:cs="仿宋_GB2312" w:eastAsia="仿宋_GB2312"/>
                <w:sz w:val="24"/>
                <w:b/>
                <w:color w:val="000000"/>
              </w:rPr>
              <w:t>（三）森林、草原、湿地资源资产</w:t>
            </w:r>
          </w:p>
          <w:p>
            <w:pPr>
              <w:pStyle w:val="null3"/>
              <w:ind w:firstLine="480"/>
              <w:jc w:val="both"/>
            </w:pPr>
            <w:r>
              <w:rPr>
                <w:rFonts w:ascii="仿宋_GB2312" w:hAnsi="仿宋_GB2312" w:cs="仿宋_GB2312" w:eastAsia="仿宋_GB2312"/>
                <w:sz w:val="24"/>
                <w:color w:val="000000"/>
              </w:rPr>
              <w:t>1.实物量清查。以年度国土变更调查成果中的图斑为基本单元，结合全国森林草原湿地荒漠化普查成果，提取权属性质为国有的图斑以及城镇开发边界内权属性质为集体的图斑，叠加林地、草地分等定级数据成果，将林地等别、草地等别、林分因子等信息挂接到对应地类图斑，查清实物量属性信息，形成森林、草原、湿地资源资产实物量图层。</w:t>
            </w:r>
          </w:p>
          <w:p>
            <w:pPr>
              <w:pStyle w:val="null3"/>
              <w:ind w:firstLine="480"/>
              <w:jc w:val="both"/>
            </w:pPr>
            <w:r>
              <w:rPr>
                <w:rFonts w:ascii="仿宋_GB2312" w:hAnsi="仿宋_GB2312" w:cs="仿宋_GB2312" w:eastAsia="仿宋_GB2312"/>
                <w:sz w:val="24"/>
                <w:color w:val="000000"/>
              </w:rPr>
              <w:t>2.更新和完善资产清查价格体系。对林地、草地等自然资源资产，通过收集已经公示的林地、草地基准价成果，和2020年后的森林、草原交易价格信号，通过必要的修正和补充完善，更新至基准时点省级资产清查价格。</w:t>
            </w:r>
          </w:p>
          <w:p>
            <w:pPr>
              <w:pStyle w:val="null3"/>
              <w:ind w:firstLine="480"/>
              <w:jc w:val="both"/>
            </w:pPr>
            <w:r>
              <w:rPr>
                <w:rFonts w:ascii="仿宋_GB2312" w:hAnsi="仿宋_GB2312" w:cs="仿宋_GB2312" w:eastAsia="仿宋_GB2312"/>
                <w:sz w:val="24"/>
                <w:color w:val="000000"/>
              </w:rPr>
              <w:t>3.价值量核算。按照森林和草原资产清查价格体系，结合实物属性信息分类核算经济价值，形成森林、草原资源资产价值量图层。</w:t>
            </w:r>
          </w:p>
          <w:p>
            <w:pPr>
              <w:pStyle w:val="null3"/>
              <w:ind w:firstLine="480"/>
              <w:jc w:val="both"/>
            </w:pPr>
            <w:r>
              <w:rPr>
                <w:rFonts w:ascii="仿宋_GB2312" w:hAnsi="仿宋_GB2312" w:cs="仿宋_GB2312" w:eastAsia="仿宋_GB2312"/>
                <w:sz w:val="24"/>
                <w:color w:val="000000"/>
              </w:rPr>
              <w:t>4.使用权（承包经营权）清查。根据林权登记资料、地籍调查成果、确权登记成果，提取国有林地和相关属性信息，重点理清国有森林使用权（承包经营权）主体及其类型、来源、年期、权利变化、利用状况、林分条件等产权信息，形成森林、草原、湿地资源资产产权图层。</w:t>
            </w:r>
          </w:p>
          <w:p>
            <w:pPr>
              <w:pStyle w:val="null3"/>
              <w:ind w:firstLine="482"/>
              <w:jc w:val="both"/>
            </w:pPr>
            <w:r>
              <w:rPr>
                <w:rFonts w:ascii="仿宋_GB2312" w:hAnsi="仿宋_GB2312" w:cs="仿宋_GB2312" w:eastAsia="仿宋_GB2312"/>
                <w:sz w:val="24"/>
                <w:b/>
                <w:color w:val="000000"/>
              </w:rPr>
              <w:t>（四）未确定使用权人国有建设用地资产</w:t>
            </w:r>
          </w:p>
          <w:p>
            <w:pPr>
              <w:pStyle w:val="null3"/>
              <w:ind w:firstLine="480"/>
              <w:jc w:val="both"/>
            </w:pPr>
            <w:r>
              <w:rPr>
                <w:rFonts w:ascii="仿宋_GB2312" w:hAnsi="仿宋_GB2312" w:cs="仿宋_GB2312" w:eastAsia="仿宋_GB2312"/>
                <w:sz w:val="24"/>
                <w:color w:val="000000"/>
              </w:rPr>
              <w:t>1.实物量清查。提取全民所有土地资产管理信息系统中填报的储备土地（含前期开发）的其他土地资产信息，形成未确定使用权人国有建设用地实物量图层。若地块拐点相关坐标缺失，可通过内业勾绘的方法或重新勘测定界的方式确定地块坐标。</w:t>
            </w:r>
          </w:p>
          <w:p>
            <w:pPr>
              <w:pStyle w:val="null3"/>
              <w:ind w:firstLine="480"/>
              <w:jc w:val="both"/>
            </w:pPr>
            <w:r>
              <w:rPr>
                <w:rFonts w:ascii="仿宋_GB2312" w:hAnsi="仿宋_GB2312" w:cs="仿宋_GB2312" w:eastAsia="仿宋_GB2312"/>
                <w:sz w:val="24"/>
                <w:color w:val="000000"/>
              </w:rPr>
              <w:t>2.价值量核算。对于规划用途、规划容积率等规划条件明确的土地，结合全民所有建设用地资源资产价格，使用修正法测算资产价格，核算资产经济价值；对于规划用途、规划容积率等规划条件不明确的土地，依据成本法核算经济价值，形成未确定使用权人国有建设用地资产价值量图层。</w:t>
            </w:r>
          </w:p>
          <w:p>
            <w:pPr>
              <w:pStyle w:val="null3"/>
              <w:ind w:firstLine="482"/>
              <w:jc w:val="both"/>
            </w:pPr>
            <w:r>
              <w:rPr>
                <w:rFonts w:ascii="仿宋_GB2312" w:hAnsi="仿宋_GB2312" w:cs="仿宋_GB2312" w:eastAsia="仿宋_GB2312"/>
                <w:sz w:val="24"/>
                <w:b/>
                <w:color w:val="000000"/>
              </w:rPr>
              <w:t>（五）县级自检</w:t>
            </w:r>
          </w:p>
          <w:p>
            <w:pPr>
              <w:pStyle w:val="null3"/>
              <w:ind w:firstLine="480"/>
              <w:jc w:val="both"/>
            </w:pPr>
            <w:r>
              <w:rPr>
                <w:rFonts w:ascii="仿宋_GB2312" w:hAnsi="仿宋_GB2312" w:cs="仿宋_GB2312" w:eastAsia="仿宋_GB2312"/>
                <w:sz w:val="24"/>
                <w:color w:val="000000"/>
              </w:rPr>
              <w:t>按照《技术指南》要求，采用内外业相结合的方式开展核查工作，使用标准规范对照法、比较逻辑检验法、统计分布检验法、重新测算法等方法，针对县级清查成果进行</w:t>
            </w:r>
            <w:r>
              <w:rPr>
                <w:rFonts w:ascii="仿宋_GB2312" w:hAnsi="仿宋_GB2312" w:cs="仿宋_GB2312" w:eastAsia="仿宋_GB2312"/>
                <w:sz w:val="24"/>
                <w:color w:val="000000"/>
              </w:rPr>
              <w:t>100%自检。完成自检后的成果方可提交市级审核。</w:t>
            </w:r>
          </w:p>
          <w:p>
            <w:pPr>
              <w:pStyle w:val="null3"/>
              <w:jc w:val="both"/>
            </w:pPr>
            <w:r>
              <w:rPr>
                <w:rFonts w:ascii="仿宋_GB2312" w:hAnsi="仿宋_GB2312" w:cs="仿宋_GB2312" w:eastAsia="仿宋_GB2312"/>
                <w:sz w:val="24"/>
                <w:b/>
              </w:rPr>
              <w:t>四、服务要求（如对人员配置、专业设备、服务标准等）</w:t>
            </w:r>
          </w:p>
          <w:p>
            <w:pPr>
              <w:pStyle w:val="null3"/>
              <w:jc w:val="both"/>
            </w:pPr>
            <w:r>
              <w:rPr>
                <w:rFonts w:ascii="仿宋_GB2312" w:hAnsi="仿宋_GB2312" w:cs="仿宋_GB2312" w:eastAsia="仿宋_GB2312"/>
                <w:sz w:val="24"/>
                <w:b/>
              </w:rPr>
              <w:t>（一）人员配置要求</w:t>
            </w:r>
          </w:p>
          <w:p>
            <w:pPr>
              <w:pStyle w:val="null3"/>
              <w:spacing w:after="120"/>
              <w:ind w:firstLine="480"/>
              <w:jc w:val="both"/>
            </w:pPr>
            <w:r>
              <w:rPr>
                <w:rFonts w:ascii="仿宋_GB2312" w:hAnsi="仿宋_GB2312" w:cs="仿宋_GB2312" w:eastAsia="仿宋_GB2312"/>
                <w:sz w:val="24"/>
              </w:rPr>
              <w:t>拟投入项目团队知识构架要全面，团队人员需具有土地、规划、测绘、地理信息等技术能力，需研究开展</w:t>
            </w:r>
            <w:r>
              <w:rPr>
                <w:rFonts w:ascii="仿宋_GB2312" w:hAnsi="仿宋_GB2312" w:cs="仿宋_GB2312" w:eastAsia="仿宋_GB2312"/>
                <w:sz w:val="24"/>
              </w:rPr>
              <w:t>各类自然资源实物量清查、价值量核算、使用权清查</w:t>
            </w:r>
            <w:r>
              <w:rPr>
                <w:rFonts w:ascii="仿宋_GB2312" w:hAnsi="仿宋_GB2312" w:cs="仿宋_GB2312" w:eastAsia="仿宋_GB2312"/>
                <w:sz w:val="24"/>
              </w:rPr>
              <w:t>等相关工作，在规定时间内完成</w:t>
            </w:r>
            <w:r>
              <w:rPr>
                <w:rFonts w:ascii="仿宋_GB2312" w:hAnsi="仿宋_GB2312" w:cs="仿宋_GB2312" w:eastAsia="仿宋_GB2312"/>
                <w:sz w:val="24"/>
              </w:rPr>
              <w:t>相关工</w:t>
            </w:r>
            <w:r>
              <w:rPr>
                <w:rFonts w:ascii="仿宋_GB2312" w:hAnsi="仿宋_GB2312" w:cs="仿宋_GB2312" w:eastAsia="仿宋_GB2312"/>
                <w:sz w:val="24"/>
                <w:color w:val="000000"/>
              </w:rPr>
              <w:t>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rPr>
              <w:t>（二）专业设备</w:t>
            </w:r>
          </w:p>
          <w:p>
            <w:pPr>
              <w:pStyle w:val="null3"/>
              <w:ind w:firstLine="480"/>
              <w:jc w:val="both"/>
            </w:pPr>
            <w:r>
              <w:rPr>
                <w:rFonts w:ascii="仿宋_GB2312" w:hAnsi="仿宋_GB2312" w:cs="仿宋_GB2312" w:eastAsia="仿宋_GB2312"/>
                <w:sz w:val="24"/>
                <w:color w:val="000000"/>
              </w:rPr>
              <w:t>具有履行本项目所必需的专业设备和技术能力。</w:t>
            </w:r>
          </w:p>
          <w:p>
            <w:pPr>
              <w:pStyle w:val="null3"/>
              <w:jc w:val="both"/>
            </w:pPr>
            <w:r>
              <w:rPr>
                <w:rFonts w:ascii="仿宋_GB2312" w:hAnsi="仿宋_GB2312" w:cs="仿宋_GB2312" w:eastAsia="仿宋_GB2312"/>
                <w:sz w:val="24"/>
                <w:b/>
              </w:rPr>
              <w:t>（三）服务标准</w:t>
            </w:r>
          </w:p>
          <w:p>
            <w:pPr>
              <w:pStyle w:val="null3"/>
              <w:ind w:firstLine="480"/>
              <w:jc w:val="both"/>
            </w:pPr>
            <w:r>
              <w:rPr>
                <w:rFonts w:ascii="仿宋_GB2312" w:hAnsi="仿宋_GB2312" w:cs="仿宋_GB2312" w:eastAsia="仿宋_GB2312"/>
                <w:sz w:val="24"/>
                <w:color w:val="000000"/>
              </w:rPr>
              <w:t>成果质量符合国家、省、市相关文件及规范要求，通过国家、省、市组织的核查。</w:t>
            </w:r>
          </w:p>
          <w:p>
            <w:pPr>
              <w:pStyle w:val="null3"/>
              <w:ind w:firstLine="480"/>
              <w:jc w:val="both"/>
            </w:pPr>
            <w:r>
              <w:rPr>
                <w:rFonts w:ascii="仿宋_GB2312" w:hAnsi="仿宋_GB2312" w:cs="仿宋_GB2312" w:eastAsia="仿宋_GB2312"/>
                <w:sz w:val="24"/>
                <w:color w:val="000000"/>
              </w:rPr>
              <w:t>1、保证服务方案和方式的科学性、可行性，人员配置合理，全面满足要求。</w:t>
            </w:r>
          </w:p>
          <w:p>
            <w:pPr>
              <w:pStyle w:val="null3"/>
              <w:ind w:firstLine="480"/>
              <w:jc w:val="both"/>
            </w:pPr>
            <w:r>
              <w:rPr>
                <w:rFonts w:ascii="仿宋_GB2312" w:hAnsi="仿宋_GB2312" w:cs="仿宋_GB2312" w:eastAsia="仿宋_GB2312"/>
                <w:sz w:val="24"/>
                <w:color w:val="000000"/>
              </w:rPr>
              <w:t>2、符合国家有关服务规范要求，确保各项服务达到最佳运行效果。</w:t>
            </w:r>
          </w:p>
          <w:p>
            <w:pPr>
              <w:pStyle w:val="null3"/>
              <w:ind w:firstLine="480"/>
              <w:jc w:val="both"/>
            </w:pPr>
            <w:r>
              <w:rPr>
                <w:rFonts w:ascii="仿宋_GB2312" w:hAnsi="仿宋_GB2312" w:cs="仿宋_GB2312" w:eastAsia="仿宋_GB2312"/>
                <w:sz w:val="24"/>
                <w:color w:val="000000"/>
              </w:rPr>
              <w:t>3、在项目的实施过程中，作业人员必须严格按照国家、省、市、县的有关规定和技术规范进行</w:t>
            </w:r>
            <w:r>
              <w:rPr>
                <w:rFonts w:ascii="仿宋_GB2312" w:hAnsi="仿宋_GB2312" w:cs="仿宋_GB2312" w:eastAsia="仿宋_GB2312"/>
                <w:sz w:val="24"/>
                <w:color w:val="000000"/>
              </w:rPr>
              <w:t>清查工作</w:t>
            </w:r>
            <w:r>
              <w:rPr>
                <w:rFonts w:ascii="仿宋_GB2312" w:hAnsi="仿宋_GB2312" w:cs="仿宋_GB2312" w:eastAsia="仿宋_GB2312"/>
                <w:sz w:val="24"/>
                <w:color w:val="000000"/>
              </w:rPr>
              <w:t>，认真准确调查每个图斑，汇总证据材料，及时准确提供各类报表。</w:t>
            </w:r>
          </w:p>
          <w:p>
            <w:pPr>
              <w:pStyle w:val="null3"/>
              <w:ind w:firstLine="480"/>
              <w:jc w:val="both"/>
            </w:pPr>
            <w:r>
              <w:rPr>
                <w:rFonts w:ascii="仿宋_GB2312" w:hAnsi="仿宋_GB2312" w:cs="仿宋_GB2312" w:eastAsia="仿宋_GB2312"/>
                <w:sz w:val="24"/>
                <w:color w:val="000000"/>
              </w:rPr>
              <w:t>4、对国家级的核查的和省市级核查发现的问题，及时整改提交。</w:t>
            </w:r>
          </w:p>
          <w:p>
            <w:pPr>
              <w:pStyle w:val="null3"/>
              <w:ind w:firstLine="480"/>
              <w:jc w:val="both"/>
            </w:pPr>
            <w:r>
              <w:rPr>
                <w:rFonts w:ascii="仿宋_GB2312" w:hAnsi="仿宋_GB2312" w:cs="仿宋_GB2312" w:eastAsia="仿宋_GB2312"/>
                <w:sz w:val="24"/>
                <w:color w:val="000000"/>
              </w:rPr>
              <w:t>5、国家、省、市关于本项目最新的标准要求下发时，按最新要求对成果进行整理、补充</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rPr>
              <w:t>五、商务要求（如服务期限、款项结算等）</w:t>
            </w:r>
          </w:p>
          <w:p>
            <w:pPr>
              <w:pStyle w:val="null3"/>
              <w:ind w:firstLine="480"/>
              <w:jc w:val="left"/>
            </w:pPr>
            <w:r>
              <w:rPr>
                <w:rFonts w:ascii="仿宋_GB2312" w:hAnsi="仿宋_GB2312" w:cs="仿宋_GB2312" w:eastAsia="仿宋_GB2312"/>
                <w:sz w:val="24"/>
                <w:color w:val="000000"/>
              </w:rPr>
              <w:t>服务期限：自合同签订之日起至项目通过国家核查且成果通过采购人备案完成时止</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1）合同签订后15日内，支付合同金额的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%作为预付款；（2）按照国、省、市要求完成成果，通过国家审核后，甲方向乙方支付合同剩余款项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六、其他</w:t>
            </w:r>
          </w:p>
          <w:p>
            <w:pPr>
              <w:pStyle w:val="null3"/>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）进度要求</w:t>
            </w:r>
          </w:p>
          <w:p>
            <w:pPr>
              <w:pStyle w:val="null3"/>
              <w:ind w:firstLine="480"/>
              <w:jc w:val="both"/>
            </w:pPr>
            <w:r>
              <w:rPr>
                <w:rFonts w:ascii="仿宋_GB2312" w:hAnsi="仿宋_GB2312" w:cs="仿宋_GB2312" w:eastAsia="仿宋_GB2312"/>
                <w:sz w:val="24"/>
              </w:rPr>
              <w:t>根据技术路线和技术要点，严格制定项目各阶段的启动和完成时间，单位一经确定，即时启动，确保服务期限之前完成项目服务，所有时间节点严格按照国、省、市相关进度要求执行。</w:t>
            </w:r>
          </w:p>
          <w:p>
            <w:pPr>
              <w:pStyle w:val="null3"/>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）成果交付要求</w:t>
            </w:r>
          </w:p>
          <w:p>
            <w:pPr>
              <w:pStyle w:val="null3"/>
              <w:ind w:firstLine="480"/>
              <w:jc w:val="both"/>
            </w:pPr>
            <w:r>
              <w:rPr>
                <w:rFonts w:ascii="仿宋_GB2312" w:hAnsi="仿宋_GB2312" w:cs="仿宋_GB2312" w:eastAsia="仿宋_GB2312"/>
                <w:sz w:val="24"/>
              </w:rPr>
              <w:t>蓝田县</w:t>
            </w:r>
            <w:r>
              <w:rPr>
                <w:rFonts w:ascii="仿宋_GB2312" w:hAnsi="仿宋_GB2312" w:cs="仿宋_GB2312" w:eastAsia="仿宋_GB2312"/>
                <w:sz w:val="24"/>
              </w:rPr>
              <w:t>全民所有自然资源资产清查</w:t>
            </w:r>
            <w:r>
              <w:rPr>
                <w:rFonts w:ascii="仿宋_GB2312" w:hAnsi="仿宋_GB2312" w:cs="仿宋_GB2312" w:eastAsia="仿宋_GB2312"/>
                <w:sz w:val="24"/>
              </w:rPr>
              <w:t>主要成果按照《全民所有自然资源资产清查</w:t>
            </w:r>
            <w:r>
              <w:rPr>
                <w:rFonts w:ascii="仿宋_GB2312" w:hAnsi="仿宋_GB2312" w:cs="仿宋_GB2312" w:eastAsia="仿宋_GB2312"/>
                <w:sz w:val="24"/>
              </w:rPr>
              <w:t>技术指南</w:t>
            </w:r>
            <w:r>
              <w:rPr>
                <w:rFonts w:ascii="仿宋_GB2312" w:hAnsi="仿宋_GB2312" w:cs="仿宋_GB2312" w:eastAsia="仿宋_GB2312"/>
                <w:sz w:val="24"/>
              </w:rPr>
              <w:t>》要求形成整套成果资料，应包括</w:t>
            </w:r>
            <w:r>
              <w:rPr>
                <w:rFonts w:ascii="仿宋_GB2312" w:hAnsi="仿宋_GB2312" w:cs="仿宋_GB2312" w:eastAsia="仿宋_GB2312"/>
                <w:sz w:val="24"/>
              </w:rPr>
              <w:t>数据库</w:t>
            </w:r>
            <w:r>
              <w:rPr>
                <w:rFonts w:ascii="仿宋_GB2312" w:hAnsi="仿宋_GB2312" w:cs="仿宋_GB2312" w:eastAsia="仿宋_GB2312"/>
                <w:sz w:val="24"/>
              </w:rPr>
              <w:t>、</w:t>
            </w:r>
            <w:r>
              <w:rPr>
                <w:rFonts w:ascii="仿宋_GB2312" w:hAnsi="仿宋_GB2312" w:cs="仿宋_GB2312" w:eastAsia="仿宋_GB2312"/>
                <w:sz w:val="24"/>
              </w:rPr>
              <w:t>文字</w:t>
            </w:r>
            <w:r>
              <w:rPr>
                <w:rFonts w:ascii="仿宋_GB2312" w:hAnsi="仿宋_GB2312" w:cs="仿宋_GB2312" w:eastAsia="仿宋_GB2312"/>
                <w:sz w:val="24"/>
              </w:rPr>
              <w:t>、</w:t>
            </w:r>
            <w:r>
              <w:rPr>
                <w:rFonts w:ascii="仿宋_GB2312" w:hAnsi="仿宋_GB2312" w:cs="仿宋_GB2312" w:eastAsia="仿宋_GB2312"/>
                <w:sz w:val="24"/>
              </w:rPr>
              <w:t>图件</w:t>
            </w:r>
            <w:r>
              <w:rPr>
                <w:rFonts w:ascii="仿宋_GB2312" w:hAnsi="仿宋_GB2312" w:cs="仿宋_GB2312" w:eastAsia="仿宋_GB2312"/>
                <w:sz w:val="24"/>
              </w:rPr>
              <w:t>、</w:t>
            </w:r>
            <w:r>
              <w:rPr>
                <w:rFonts w:ascii="仿宋_GB2312" w:hAnsi="仿宋_GB2312" w:cs="仿宋_GB2312" w:eastAsia="仿宋_GB2312"/>
                <w:sz w:val="24"/>
              </w:rPr>
              <w:t>表格成果</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数据</w:t>
            </w:r>
            <w:r>
              <w:rPr>
                <w:rFonts w:ascii="仿宋_GB2312" w:hAnsi="仿宋_GB2312" w:cs="仿宋_GB2312" w:eastAsia="仿宋_GB2312"/>
                <w:sz w:val="24"/>
              </w:rPr>
              <w:t>库</w:t>
            </w:r>
            <w:r>
              <w:rPr>
                <w:rFonts w:ascii="仿宋_GB2312" w:hAnsi="仿宋_GB2312" w:cs="仿宋_GB2312" w:eastAsia="仿宋_GB2312"/>
                <w:sz w:val="24"/>
              </w:rPr>
              <w:t>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蓝田县全民所有农用地资产清查数据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蓝田县全民所有建设用地资产清查数据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蓝田县全民所有未利用地资产清查数据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蓝田县未确定使用权人国有建设用地资产清查数据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蓝田县矿产资源资产清查数据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蓝田县全民所有森林资源资产清查数据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蓝田县全民所有草原资源资产清查数据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蓝田县全民所有湿地资源资产清查数据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蓝田县城镇开发边界范围内集体所有土地资源资产清查数据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蓝田县城镇村等用地资产清查数据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文字成果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蓝田县全民所有自然资源资产清查技术报告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蓝田县全民所有自然资源资产清查工作报告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蓝田县全民所有自然资源资产清查质检报告</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图件成果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蓝田县全民所有农用地资源资产清查成果图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蓝田县全民所有建设用地资源资产清查成果图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蓝田县全民所有未利用地资源资产清查成果图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蓝田县未确定使用权人建设用地清查成果图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蓝田县矿产资源资产清查成果图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蓝田县全民所有森林资源资产清查成果图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蓝田县全民所有草原资源资产清查成果图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蓝田县全民所有湿地资源资产清查成果图</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表格成果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蓝田县全民所有农用地资产清查成果表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蓝田县全民所有建设用地资产清查成果表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蓝田县全民所有未利用地资产清查成果表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蓝田县未确定使用权人国有建设用地资产清查成果表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蓝田县矿产资源资产清查成果表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蓝田县全民所有森林资源资产清查成果表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蓝田县全民所有草原资源资产清查成果表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蓝田县全民所有湿地资源资产清查成果表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蓝田县城镇开发边界范围内集体所有自然资源资产清查成果表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蓝田县城镇村等用地资产清查成果表等</w:t>
            </w:r>
          </w:p>
          <w:p>
            <w:pPr>
              <w:pStyle w:val="null3"/>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）质量验收标准或规范</w:t>
            </w:r>
          </w:p>
          <w:p>
            <w:pPr>
              <w:pStyle w:val="null3"/>
              <w:ind w:firstLine="480"/>
              <w:jc w:val="both"/>
            </w:pPr>
            <w:r>
              <w:rPr>
                <w:rFonts w:ascii="仿宋_GB2312" w:hAnsi="仿宋_GB2312" w:cs="仿宋_GB2312" w:eastAsia="仿宋_GB2312"/>
                <w:sz w:val="24"/>
              </w:rPr>
              <w:t>清查成果应通过数据质检工作，并逐级通过市级、省级、国家级成果核查，基础核查、数据内容核查、疑问图斑核查的各项核查内容结论均应达到</w:t>
            </w:r>
            <w:r>
              <w:rPr>
                <w:rFonts w:ascii="仿宋_GB2312" w:hAnsi="仿宋_GB2312" w:cs="仿宋_GB2312" w:eastAsia="仿宋_GB2312"/>
                <w:sz w:val="24"/>
              </w:rPr>
              <w:t>“符合”标准</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按照国、省、市要求完成成果，通过国家审核后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提供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投标供应商需具备行业主管部门颁发的乙级及以上测绘资质。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业绩一览表.docx 中小企业声明函 质疑函.docx 报价表 资格证明文件.docx 投诉书.docx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业绩一览表.docx 中小企业声明函 质疑函.docx 报价表 资格证明文件.docx 投诉书.docx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①服务总体计划和目标②技术实施方案③对项目的理解。 二、评审标准 1、完整性：方案须全面，对评审内容中的各项要求有详细描述及说明； 2、可实施性：切合本项目实际情况，实施步骤清晰、合理； 3、针对性：方案能够紧扣项目实际情况，内容科学合理。 三、赋分标准(满分9分) ①服务总体计划和目标：每完全满足一项评审标准得1分，每基本满足一项评审标准得0.5分，其他得0分，本项满分3分； ②现场外业调查方案：每完全满足一项评审标准得1分，每基本满足一项评审标准得0.5分，其他得0分，本项满分3分； ③项目评审方案：每完全满足一项评审标准得1分，每基本满足一项评审标准得0.5分，其他得0分，本项满分3分。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①项目关键点分析②项目具体实施措施。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三、赋分标准(满分12分) ①项目关键点分析：每完全满足一项评审标准得2分，每基本满足一项评审标准得1分，方案有缺陷得0.5分，其他得0分，本项满分6分； ②项目具体实施措施：每完全满足一项评审标准得2分，每基本满足一项评审标准得1分，方案有缺陷得0.5分，其他得0分，本项满分6分。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三、赋分标准(满分9分) ①成果交付进度控制方案：每完全满足一项评审标准得2分，每基本满足一项评审标准得1分，方案有缺陷得0.5分，其他得0分，本项满分6分； ②服务期进度控制方案：每完全满足一项评审标准得1分，每基本满足一项评审标准得0.5分，方案有缺陷得0.5分，其他得0分，本项满分3分。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①项目整体质量控制方案方案：每完全满足一项评审标准得1分，每基本满足一项评审标准得0.5分，其他得0分，本项满分3分； ②成果报告质量控制方案：每完全满足一项评审标准得1分，每基本满足一项评审标准得0.5分，其他得0分，本项满分3分。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针对本项目提出的成果提交方案①按照《全民所有自然资源资产清查技术指南》要求形成整套成果资料，应包括数据库、文字、图件、表格成果等。 二、评审标准 1、完整性：方案全面，梳理出项目关键点，对评审内容中的各项要求有详细描述及说明； 2、可实施性：切合本项目实际情况，实施步骤清晰、合理； 3、针对性：方案能够紧扣项目实际情况，内容科学合理。 三、赋分标准(满分6分) 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三、赋分标准(满分6分) 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针对本项目实施范围内产生的资料，提供档案管理内容包含①合理的规划措施②保管措施和移交措施。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三、评审标准(满分6分) ①合理的规划措施：每完全满足一个评审标准得1分，每基本满足一项评审标准得0.5分，其他得0分，本项满分3分； ②保管措施和移交措施：每完全满足一个评审标准得1分，每基本满足一项评审标准得0.5分，其他得0分，本项满分3分。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1.承诺：接受采购人对服务的考核、监督及管理，并对服务质量加以改进，确保服务工作的优质高效得2分，承诺一般，有缺陷得0.5分。其他或无承诺不得分。 2.承诺：若人员因事、病不能及时上岗时，请调其他服务人员补充，确保各项服务工作正常进行得2分，承诺一般，有缺陷得0.5分。其他或无承诺不得分。 3.承诺：供应商应当对涉及采购人的信息严格保密，未经采购人许可，不得将信息泄露给第三方。否则，采购人保留追究法律责任的权利得1分，承诺一般，有缺陷得0.5分。其他或无承诺不得分。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1、项目负责人具有具备国家注册测绘师或相关专业高级技术职称计1分。 2、项目负责人具有5年及以上同类项目工作经验，得1分；每增加一年工作经验额外增加1分，最多增加2分，满分3分。 赋分依据：须提供加盖投标供应商公章的工作证明文件，不提供或缺漏项不得分。 备注：除上述赋分依据外，还须同时提供供应商为项目负责人缴纳的近六个月内任意一个月的社保缴纳证明材料，不提供本大项(4分)不得分。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①管理机构②岗位职责制度③专业技术人员投入。 二、评审标准 1、完整性 2、可实施性 3、针对性 三、赋分依据（满分9分） ①管理机构：每完全满足一个评审标准得 1分，每基本满足一项评审标准得0.5分，其他得0分，满分3分； ②岗位职责制度:每完全满足一个评审标准得 1 分，每基本满足一项评审标准得0.5分，其他得0分，满分3分 ③专业技术人员投入：每完全满足一个评审标准得1分，每基本满足一项评审标准得0.5分，其他得0分，满分3分。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设备仪器配备</w:t>
            </w:r>
          </w:p>
        </w:tc>
        <w:tc>
          <w:tcPr>
            <w:tcW w:type="dxa" w:w="2492"/>
          </w:tcPr>
          <w:p>
            <w:pPr>
              <w:pStyle w:val="null3"/>
            </w:pPr>
            <w:r>
              <w:rPr>
                <w:rFonts w:ascii="仿宋_GB2312" w:hAnsi="仿宋_GB2312" w:cs="仿宋_GB2312" w:eastAsia="仿宋_GB2312"/>
              </w:rPr>
              <w:t>针对本项目提供相关清查工作拟投入的测绘设备（包括但不限于数据汇总分析软件等）。 配置齐全、契合本项目实际特点得8分； 配置简单、契合性一般得5分； 配置与项目实施不契合或不能完全满足本项目定量计算得2分； 设备仪器配置严重缺项、与项目实施不契合或未提供得0分。 赋分依据：需提供配置清单。</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投标供应商提供2022年4月1日至今（以合同签订日期为准）类似项目业绩（以合同复印件或扫描件加盖公章为准），每个有效业绩得2分，满分共计10分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