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版本号：SXCC–[2025]–DL04820250623001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蓝田县城区病媒生物消杀</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SXCC–[2025]–DL048</w:t>
      </w:r>
      <w:r>
        <w:br/>
      </w:r>
      <w:r>
        <w:br/>
      </w:r>
      <w:r>
        <w:br/>
      </w:r>
    </w:p>
    <w:p>
      <w:pPr>
        <w:pStyle w:val="null3"/>
        <w:jc w:val="center"/>
        <w:outlineLvl w:val="2"/>
      </w:pPr>
      <w:r>
        <w:rPr>
          <w:rFonts w:ascii="仿宋_GB2312" w:hAnsi="仿宋_GB2312" w:cs="仿宋_GB2312" w:eastAsia="仿宋_GB2312"/>
          <w:sz w:val="28"/>
          <w:b/>
        </w:rPr>
        <w:t>蓝田县卫生健康局</w:t>
      </w:r>
    </w:p>
    <w:p>
      <w:pPr>
        <w:pStyle w:val="null3"/>
        <w:jc w:val="center"/>
        <w:outlineLvl w:val="2"/>
      </w:pPr>
      <w:r>
        <w:rPr>
          <w:rFonts w:ascii="仿宋_GB2312" w:hAnsi="仿宋_GB2312" w:cs="仿宋_GB2312" w:eastAsia="仿宋_GB2312"/>
          <w:sz w:val="28"/>
          <w:b/>
        </w:rPr>
        <w:t>陕西长城工程造价师事务所有限责任公司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陕西长城工程造价师事务所有限责任公司</w:t>
      </w:r>
      <w:r>
        <w:rPr>
          <w:rFonts w:ascii="仿宋_GB2312" w:hAnsi="仿宋_GB2312" w:cs="仿宋_GB2312" w:eastAsia="仿宋_GB2312"/>
        </w:rPr>
        <w:t>（以下简称“代理机构”）受</w:t>
      </w:r>
      <w:r>
        <w:rPr>
          <w:rFonts w:ascii="仿宋_GB2312" w:hAnsi="仿宋_GB2312" w:cs="仿宋_GB2312" w:eastAsia="仿宋_GB2312"/>
        </w:rPr>
        <w:t>蓝田县卫生健康局</w:t>
      </w:r>
      <w:r>
        <w:rPr>
          <w:rFonts w:ascii="仿宋_GB2312" w:hAnsi="仿宋_GB2312" w:cs="仿宋_GB2312" w:eastAsia="仿宋_GB2312"/>
        </w:rPr>
        <w:t>委托，拟对</w:t>
      </w:r>
      <w:r>
        <w:rPr>
          <w:rFonts w:ascii="仿宋_GB2312" w:hAnsi="仿宋_GB2312" w:cs="仿宋_GB2312" w:eastAsia="仿宋_GB2312"/>
        </w:rPr>
        <w:t>蓝田县城区病媒生物消杀</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SXCC–[2025]–DL048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蓝田县城区病媒生物消杀</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蓝田县城区病媒生物消杀，对县城区及城乡结合部医院、学校、农贸市场、机关单位、公厕、城中村、垃圾中转站、公园广场、小区、屠宰厂等公共场所的消杀工作，帮助小超市、小理发等六小行业的病媒防制消杀。</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采购包1（蓝田县城区病媒生物消杀）：属于专门面向中小企业采购。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1、法定代表人身份证明书/法定代表人授权委托书：法定代表人授权书（法定代表人直接参加投标，须提供法定代表人身份证明）。</w:t>
      </w:r>
    </w:p>
    <w:p>
      <w:pPr>
        <w:pStyle w:val="null3"/>
      </w:pPr>
      <w:r>
        <w:rPr>
          <w:rFonts w:ascii="仿宋_GB2312" w:hAnsi="仿宋_GB2312" w:cs="仿宋_GB2312" w:eastAsia="仿宋_GB2312"/>
        </w:rPr>
        <w:t>2、信用信息查询：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p>
      <w:pPr>
        <w:pStyle w:val="null3"/>
      </w:pPr>
      <w:r>
        <w:rPr>
          <w:rFonts w:ascii="仿宋_GB2312" w:hAnsi="仿宋_GB2312" w:cs="仿宋_GB2312" w:eastAsia="仿宋_GB2312"/>
        </w:rPr>
        <w:t>3、承诺书：1、供应商不得在各级诚信信息平台被列为投标受限制的行为人； 2、本项目不接受联合体磋商，单位负责人为同一人或者存在直接控股、管理关系的不同供应商，不得参加同一合同项下的政府采购活动。</w:t>
      </w:r>
    </w:p>
    <w:p>
      <w:pPr>
        <w:pStyle w:val="null3"/>
      </w:pPr>
      <w:r>
        <w:rPr>
          <w:rFonts w:ascii="仿宋_GB2312" w:hAnsi="仿宋_GB2312" w:cs="仿宋_GB2312" w:eastAsia="仿宋_GB2312"/>
        </w:rPr>
        <w:t>4、中小企业声明函：本项目专门面向中小企业采购，仅限符合《政府采购促进中小企业发展管理办法》的通知(财库〔2020〕46号)条件的中小企业参与，并提供中小企业声明函。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蓝田县卫生健康局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蓝田县新城路36号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陈晓辉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029-82735356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陕西长城工程造价师事务所有限责任公司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蓝田县青灞路白鹿原管委会对面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谢毅潇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029-82722200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李晓东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代理服务费收费标准：1.以成交金额为基数，参照国家计委颁布《招标代理服务收费管理暂行办法》（计价格[2002]1980号）、（发改办价格[2003]857号）文件规定执行；不足伍仟按伍仟计取。 2.招标代理服务费由成交供应商支付，在领取《成交通知书》前，由成交供应商一次性支付给陕西长城工程造价师事务所有限责任公司。 招标代理服务费缴纳账户： 开户名称：陕西长城工程造价师事务所有限责任公司 开户银行：建行西安凤城二路支行 账 号：6105 0110 2637 0000 0190 注：成交公示结束后，成交供应商须提供纸质磋商响应文件 3 套及电子版 U 盘 1 个（内容与系统上传保持一致）交由采购代理机构。成交供应商对所提供资料的真实性、合法性、准确性、完整性负责，无需密封。</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蓝田县卫生健康局</w:t>
      </w:r>
      <w:r>
        <w:rPr>
          <w:rFonts w:ascii="仿宋_GB2312" w:hAnsi="仿宋_GB2312" w:cs="仿宋_GB2312" w:eastAsia="仿宋_GB2312"/>
        </w:rPr>
        <w:t>和</w:t>
      </w:r>
      <w:r>
        <w:rPr>
          <w:rFonts w:ascii="仿宋_GB2312" w:hAnsi="仿宋_GB2312" w:cs="仿宋_GB2312" w:eastAsia="仿宋_GB2312"/>
        </w:rPr>
        <w:t>陕西长城工程造价师事务所有限责任公司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蓝田县卫生健康局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陕西长城工程造价师事务所有限责任公司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蓝田县卫生健康局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陕西长城工程造价师事务所有限责任公司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控制水平达到国家卫生城市标准（C级以上），满足《国家卫生城市和卫生县》（2021版）标准要求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陕西长城工程造价师事务所有限责任公司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联系人：谢毅潇</w:t>
      </w:r>
    </w:p>
    <w:p>
      <w:pPr>
        <w:pStyle w:val="null3"/>
      </w:pPr>
      <w:r>
        <w:rPr>
          <w:rFonts w:ascii="仿宋_GB2312" w:hAnsi="仿宋_GB2312" w:cs="仿宋_GB2312" w:eastAsia="仿宋_GB2312"/>
        </w:rPr>
        <w:t>联系电话：029-82722200</w:t>
      </w:r>
    </w:p>
    <w:p>
      <w:pPr>
        <w:pStyle w:val="null3"/>
      </w:pPr>
      <w:r>
        <w:rPr>
          <w:rFonts w:ascii="仿宋_GB2312" w:hAnsi="仿宋_GB2312" w:cs="仿宋_GB2312" w:eastAsia="仿宋_GB2312"/>
        </w:rPr>
        <w:t>地址：蓝田县青灞路白鹿原管委会对面</w:t>
      </w:r>
    </w:p>
    <w:p>
      <w:pPr>
        <w:pStyle w:val="null3"/>
      </w:pPr>
      <w:r>
        <w:rPr>
          <w:rFonts w:ascii="仿宋_GB2312" w:hAnsi="仿宋_GB2312" w:cs="仿宋_GB2312" w:eastAsia="仿宋_GB2312"/>
        </w:rPr>
        <w:t>邮编：710500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蓝田县城区病媒生物消杀，对县城区及城乡结合部医院、学校、农贸市场、机关单位、公厕、城中村、垃圾中转站、公园广场、小区、屠宰厂等公共场所的消杀工作，帮助小超市、小理发等六小行业的病媒防制消杀。</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320,000.00</w:t>
      </w:r>
    </w:p>
    <w:p>
      <w:pPr>
        <w:pStyle w:val="null3"/>
      </w:pPr>
      <w:r>
        <w:rPr>
          <w:rFonts w:ascii="仿宋_GB2312" w:hAnsi="仿宋_GB2312" w:cs="仿宋_GB2312" w:eastAsia="仿宋_GB2312"/>
        </w:rPr>
        <w:t>采购包最高限价（元）: 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蓝田县城区及部分镇街病媒生物消杀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标的名称：蓝田县城区及部分镇街病媒生物消杀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一、项目概况</w:t>
            </w:r>
          </w:p>
          <w:p>
            <w:pPr>
              <w:pStyle w:val="null3"/>
              <w:ind w:firstLine="400"/>
              <w:jc w:val="both"/>
            </w:pPr>
            <w:r>
              <w:rPr>
                <w:rFonts w:ascii="仿宋_GB2312" w:hAnsi="仿宋_GB2312" w:cs="仿宋_GB2312" w:eastAsia="仿宋_GB2312"/>
                <w:sz w:val="21"/>
              </w:rPr>
              <w:t>蓝田县城区病媒生物消杀，对县城区及城乡结合部医院、学校、农贸市场、机关单位、公厕、城中村、垃圾中转站、公园广场、小区、屠宰厂等公共场所的消杀工作，帮助小超市、小理发等六小行业的病媒防制消杀。</w:t>
            </w:r>
          </w:p>
          <w:p>
            <w:pPr>
              <w:pStyle w:val="null3"/>
              <w:jc w:val="both"/>
            </w:pPr>
            <w:r>
              <w:rPr>
                <w:rFonts w:ascii="仿宋_GB2312" w:hAnsi="仿宋_GB2312" w:cs="仿宋_GB2312" w:eastAsia="仿宋_GB2312"/>
                <w:sz w:val="21"/>
              </w:rPr>
              <w:t>二、服务内容</w:t>
            </w:r>
          </w:p>
          <w:p>
            <w:pPr>
              <w:pStyle w:val="null3"/>
              <w:ind w:firstLine="420"/>
              <w:jc w:val="both"/>
            </w:pPr>
            <w:r>
              <w:rPr>
                <w:rFonts w:ascii="仿宋_GB2312" w:hAnsi="仿宋_GB2312" w:cs="仿宋_GB2312" w:eastAsia="仿宋_GB2312"/>
                <w:sz w:val="21"/>
              </w:rPr>
              <w:t>1.蚊蝇、蟑螂、鼠类防制消杀,密度达到国家病媒生物密度控制水平标准以上（C级以上），达到国家卫生县病媒生物防制要求；</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对县城区及城乡结合部医院、学校、农贸市场、机关单位、公厕、城中村、垃圾中转站、公园广场、小区、屠宰厂等公共场所病媒生物的消杀，帮助小超市、小理发等六小服务行业开展病媒生物防制、消杀；</w:t>
            </w:r>
          </w:p>
          <w:p>
            <w:pPr>
              <w:pStyle w:val="null3"/>
              <w:ind w:firstLine="420"/>
              <w:jc w:val="both"/>
            </w:pPr>
            <w:r>
              <w:rPr>
                <w:rFonts w:ascii="仿宋_GB2312" w:hAnsi="仿宋_GB2312" w:cs="仿宋_GB2312" w:eastAsia="仿宋_GB2312"/>
                <w:sz w:val="21"/>
              </w:rPr>
              <w:t>3.协助蓝田县进行病媒生物防制培训；</w:t>
            </w:r>
          </w:p>
          <w:p>
            <w:pPr>
              <w:pStyle w:val="null3"/>
              <w:ind w:firstLine="420"/>
              <w:jc w:val="both"/>
            </w:pPr>
            <w:r>
              <w:rPr>
                <w:rFonts w:ascii="仿宋_GB2312" w:hAnsi="仿宋_GB2312" w:cs="仿宋_GB2312" w:eastAsia="仿宋_GB2312"/>
                <w:sz w:val="21"/>
              </w:rPr>
              <w:t>4.协助开展蚊、蝇孳生地调查和治理，提供三次调查报告。对作业区蚊、蝇、鼠、蟑等病媒生物进行密度监测，并提供相关报告。</w:t>
            </w:r>
          </w:p>
          <w:p>
            <w:pPr>
              <w:pStyle w:val="null3"/>
              <w:jc w:val="both"/>
            </w:pPr>
            <w:r>
              <w:rPr>
                <w:rFonts w:ascii="仿宋_GB2312" w:hAnsi="仿宋_GB2312" w:cs="仿宋_GB2312" w:eastAsia="仿宋_GB2312"/>
                <w:sz w:val="21"/>
              </w:rPr>
              <w:t>三、其他要求</w:t>
            </w:r>
          </w:p>
          <w:p>
            <w:pPr>
              <w:pStyle w:val="null3"/>
              <w:ind w:firstLine="400"/>
              <w:jc w:val="both"/>
            </w:pPr>
            <w:r>
              <w:rPr>
                <w:rFonts w:ascii="仿宋_GB2312" w:hAnsi="仿宋_GB2312" w:cs="仿宋_GB2312" w:eastAsia="仿宋_GB2312"/>
                <w:sz w:val="21"/>
              </w:rPr>
              <w:t>1.环保要求：禁止使用国家禁用药物。优先采购低毒、可降解药剂，废弃包装需由供应商回收处理。</w:t>
            </w:r>
          </w:p>
          <w:p>
            <w:pPr>
              <w:pStyle w:val="null3"/>
              <w:ind w:firstLine="400"/>
              <w:jc w:val="both"/>
            </w:pPr>
            <w:r>
              <w:rPr>
                <w:rFonts w:ascii="仿宋_GB2312" w:hAnsi="仿宋_GB2312" w:cs="仿宋_GB2312" w:eastAsia="仿宋_GB2312"/>
                <w:sz w:val="21"/>
              </w:rPr>
              <w:t>2.安全规范：操作人员须持证上岗，消杀区域提前公告避让提示。</w:t>
            </w:r>
          </w:p>
          <w:p>
            <w:pPr>
              <w:pStyle w:val="null3"/>
              <w:ind w:firstLine="400"/>
              <w:jc w:val="both"/>
            </w:pPr>
            <w:r>
              <w:rPr>
                <w:rFonts w:ascii="仿宋_GB2312" w:hAnsi="仿宋_GB2312" w:cs="仿宋_GB2312" w:eastAsia="仿宋_GB2312"/>
                <w:sz w:val="21"/>
              </w:rPr>
              <w:t>3.验收标准：控制水平达到国家卫生城市标准（C级以上），满足《国家卫生城市和卫生县》（2021版）标准要求。</w:t>
            </w:r>
          </w:p>
          <w:p>
            <w:pPr>
              <w:pStyle w:val="null3"/>
              <w:ind w:firstLine="420"/>
            </w:pPr>
            <w:r>
              <w:rPr>
                <w:rFonts w:ascii="仿宋_GB2312" w:hAnsi="仿宋_GB2312" w:cs="仿宋_GB2312" w:eastAsia="仿宋_GB2312"/>
                <w:sz w:val="21"/>
              </w:rPr>
              <w:t>4.付款方式：</w:t>
            </w:r>
            <w:r>
              <w:rPr>
                <w:rFonts w:ascii="仿宋_GB2312" w:hAnsi="仿宋_GB2312" w:cs="仿宋_GB2312" w:eastAsia="仿宋_GB2312"/>
                <w:sz w:val="21"/>
              </w:rPr>
              <w:t>分期付款。首次消杀完成后 ，达到付款条件起 30 日内，支付合同总金额的 50%。第二次消杀完成后 ，达到付款条件起 30 日内，支付合同总金额的 35%。经专业机构验收通过后，达到付款条件起 30 日内，支付合同总金额的 15%。注：付款前，乙方须提供与合同金额相同的增值税发票。</w:t>
            </w:r>
          </w:p>
          <w:p>
            <w:pPr>
              <w:pStyle w:val="null3"/>
              <w:jc w:val="both"/>
            </w:pPr>
            <w:r>
              <w:rPr>
                <w:rFonts w:ascii="仿宋_GB2312" w:hAnsi="仿宋_GB2312" w:cs="仿宋_GB2312" w:eastAsia="仿宋_GB2312"/>
                <w:sz w:val="21"/>
              </w:rPr>
              <w:t xml:space="preserve">      5.售后服务：质保期1年，提供7×24小时应急响应。</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工作人员具有专业资质；病媒生物密度控制水平、防蝇防鼠设施达到专项检查标准。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自合同签订生效之日起6个月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控制水平达到国家卫生城市标准（C级以上），满足《国家卫生城市和卫生县》（2021版）标准要求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首次消杀完成后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第二次消杀完成后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经专业机构验收通过后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在合同实施过程中，若乙方未按合同要求提供服务或服务质量不能满足合同要求，甲方应当将乙方违约的情况以及拟采取的措施以书面形式报政府采购监管部门，根据政府采购监管部门的处理意见，甲方有权依据《中华人民共和国民法典》有关条款及合同约定终止合同，并要求乙方承担违约责任。同时，政府采购监管部门有权依据《政府采购法》及相关法律法规对乙方的违法行为进行相应的处罚； 3、任何一方因不可抗力原因不能履行协议时，应尽快通知对方，双方均设法补偿。如仍无法履约协议，可协商延缓或撤销协议，双方责任免除。</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 ①如供应商是企业（包括合伙企业），应提供在工商部门注册的有效“企业法人营业执照”或“营业执照”； ②如供应商是事业单位，应提供有效的“事业单位法人证书”； ③如供应商是为企业专业服务机构的，应提供执业许可证等证明文件； ④如供应商是个体工商户，应提供有效的“个体工商户营业执照”； ⑤如供应商为自然人，应提供有效的自然人身份证明。 (2)提供2024年度经审计的财务报告（成立时间至提交响应文件截止时间不足一年的可提供成立后任意时段的资产负债表），或投标截止时间前6个月内银行出具的资信证明； (3)提供响应文件递交截止日前一年内已缴纳的至少一个月的纳税证明或完税证明，依法免税的单位应提供相关证明材料； (4)提供响应文件递交截止日前一年内已缴存的至少一个月的社会保障资金缴存单据或社保机构开具的社会保险参保缴费情况证明，依法不需要缴纳社会保障资金的单位应提供相关证明材料； (5)提供具有履行合同所必需的设备和专业技术能力的承诺； (6)参加政府采购活动前3年内，在经营活动中没有重大违法记录的书面声明。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提供2024年度经审计的财务报告（成立时间至提交响应文件截止时间不足一年的可提供成立后任意时段的资产负债表），或投标截止时间前6个月内银行出具的资信证明。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法定代表人身份证明书/法定代表人授权委托书</w:t>
            </w:r>
          </w:p>
        </w:tc>
        <w:tc>
          <w:tcPr>
            <w:tcW w:type="dxa" w:w="3322"/>
          </w:tcPr>
          <w:p>
            <w:pPr>
              <w:pStyle w:val="null3"/>
            </w:pPr>
            <w:r>
              <w:rPr>
                <w:rFonts w:ascii="仿宋_GB2312" w:hAnsi="仿宋_GB2312" w:cs="仿宋_GB2312" w:eastAsia="仿宋_GB2312"/>
              </w:rPr>
              <w:t>法定代表人授权书（法定代表人直接参加投标，须提供法定代表人身份证明）。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投标供应商，不得为中国政府采购网（www.ccgp.gov.cn）政府采购严重违法失信行为记录名单中被财政部门禁止参加政府采购活动的投标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1、供应商不得在各级诚信信息平台被列为投标受限制的行为人； 2、本项目不接受联合体磋商，单位负责人为同一人或者存在直接控股、管理关系的不同供应商，不得参加同一合同项下的政府采购活动。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本项目专门面向中小企业采购，仅限符合《政府采购促进中小企业发展管理办法》的通知(财库〔2020〕46号)条件的中小企业参与，并提供中小企业声明函。</w:t>
            </w:r>
          </w:p>
        </w:tc>
        <w:tc>
          <w:tcPr>
            <w:tcW w:type="dxa" w:w="1661"/>
          </w:tcPr>
          <w:p>
            <w:pPr>
              <w:pStyle w:val="null3"/>
            </w:pPr>
            <w:r>
              <w:rPr>
                <w:rFonts w:ascii="仿宋_GB2312" w:hAnsi="仿宋_GB2312" w:cs="仿宋_GB2312" w:eastAsia="仿宋_GB2312"/>
              </w:rPr>
              <w:t>中小企业声明函 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要求商务条款全部响应，不能有采购人不能接受的附加条件</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根据各供应商提供的服务方案内环境分析、实施方案、质控方案、病媒生物消杀防制工作方案、技术支持、创新、管理及制度、各分项实施方案。 1、方案全面、针对性强、可行高利于项目实施，得14分； 2、方案全面，针对性较强，可行性较高，得12分； 3、方案基本全面，针对性一般，可行性一般，得8分； 4、方案一般、针对性一般、基本可行稍有欠缺，得6分； 5、方案欠妥，针对性较差、可行性较差，得3分； 6、方案大部分内容缺失，无针对性、无可行性，得1分； 未提供不得分。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根据各供应商提供的质量保证措施、质量标准（包括消杀鼠、蚊、蝇、蟑螂标准等需达到采购内容质量要求） 1、质量保证措施切实可行，针对性强，得10分； 2、质量保证措施可行性一般，针对性一般，得8分； 3、质量保证措施基本可行但稍有欠缺，针对性一般，得5分； 4、质量保证措施可行性较差，无针对性，得3分；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消杀药品投入方案</w:t>
            </w:r>
          </w:p>
        </w:tc>
        <w:tc>
          <w:tcPr>
            <w:tcW w:type="dxa" w:w="2492"/>
          </w:tcPr>
          <w:p>
            <w:pPr>
              <w:pStyle w:val="null3"/>
            </w:pPr>
            <w:r>
              <w:rPr>
                <w:rFonts w:ascii="仿宋_GB2312" w:hAnsi="仿宋_GB2312" w:cs="仿宋_GB2312" w:eastAsia="仿宋_GB2312"/>
              </w:rPr>
              <w:t>提供的药品品质、性能、安全性、影响性： 1、药品选用针对性强、准确、环保、安全，符合性好，得10分； 2、药品选用针对性较强、安全及符合性较好，满足环保安全要求，得8分； 3、药品选用针对性一般、安全及符合性一般，基本满足环保安全要求，得5分； 4、药品选用针对性较差、安全及符合性差，无法满足环保安全要求，得3分； 未提供不得分。 注（药品需提供农药登记证、质检报告、MSDS（化学品安全说明书））。</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团队人员方案</w:t>
            </w:r>
          </w:p>
        </w:tc>
        <w:tc>
          <w:tcPr>
            <w:tcW w:type="dxa" w:w="2492"/>
          </w:tcPr>
          <w:p>
            <w:pPr>
              <w:pStyle w:val="null3"/>
            </w:pPr>
            <w:r>
              <w:rPr>
                <w:rFonts w:ascii="仿宋_GB2312" w:hAnsi="仿宋_GB2312" w:cs="仿宋_GB2312" w:eastAsia="仿宋_GB2312"/>
              </w:rPr>
              <w:t>1、人员结构及专业配置规模适合、结构合理，与防制工作的内容和要求相适应，完全满足采购需求，得 10 分； 2、人员结构及专业配置基本适合、结构合理，与防制工作的内容和要求适应，得8分； 3、人员结构及专业配置规模不合适、结构不合理，与防制工作的内容和要求不适应，稍有欠缺，得5分； 4、人员结构及专业配置规模不合适、结构不合理，与防制工作的内容和 要求不适应，无法满足采购需求，得 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人员证书</w:t>
            </w:r>
          </w:p>
        </w:tc>
        <w:tc>
          <w:tcPr>
            <w:tcW w:type="dxa" w:w="2492"/>
          </w:tcPr>
          <w:p>
            <w:pPr>
              <w:pStyle w:val="null3"/>
            </w:pPr>
            <w:r>
              <w:rPr>
                <w:rFonts w:ascii="仿宋_GB2312" w:hAnsi="仿宋_GB2312" w:cs="仿宋_GB2312" w:eastAsia="仿宋_GB2312"/>
              </w:rPr>
              <w:t>拟派人员具有病媒防治员证书或专业技术机构专业培训资格证书，每提供一份有效证书得 2 分，最高得6分。未提供不计分。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设备投入方案</w:t>
            </w:r>
          </w:p>
        </w:tc>
        <w:tc>
          <w:tcPr>
            <w:tcW w:type="dxa" w:w="2492"/>
          </w:tcPr>
          <w:p>
            <w:pPr>
              <w:pStyle w:val="null3"/>
            </w:pPr>
            <w:r>
              <w:rPr>
                <w:rFonts w:ascii="仿宋_GB2312" w:hAnsi="仿宋_GB2312" w:cs="仿宋_GB2312" w:eastAsia="仿宋_GB2312"/>
              </w:rPr>
              <w:t>提供的作业车辆、机械设备配备及使用状况（包含名称、型号、状况、适用环境等） 1、设备先进并完全满足本项目的使用要求，得10分； 2、设备较先进满足本项目的使用要求得8分； 3、设备一般基本满足本项目的使用要求，得5分； 4、设备老旧无法满足本项目使用要求，得3分；未提供不得分。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安全应急处理措施方案</w:t>
            </w:r>
          </w:p>
        </w:tc>
        <w:tc>
          <w:tcPr>
            <w:tcW w:type="dxa" w:w="2492"/>
          </w:tcPr>
          <w:p>
            <w:pPr>
              <w:pStyle w:val="null3"/>
            </w:pPr>
            <w:r>
              <w:rPr>
                <w:rFonts w:ascii="仿宋_GB2312" w:hAnsi="仿宋_GB2312" w:cs="仿宋_GB2312" w:eastAsia="仿宋_GB2312"/>
              </w:rPr>
              <w:t>制定详细周全的人员作业安全措施及突发事件应急措施（出现突发病媒传染病疫情或重大病媒生物入侵事件，按采购人的要求，启动积极预案，迅速组织力量（人、药、器械到位）全力投入工作确保监测和消杀工作质量）。 1、措施明确、完善，可行性强，得10分； 2、措施较为明确，可行性一般，得8分； 3、措施笼统，可行性差，有待优化，得5分； 4、措施内容简洁，无针对性，得3分；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合理化建议方案</w:t>
            </w:r>
          </w:p>
        </w:tc>
        <w:tc>
          <w:tcPr>
            <w:tcW w:type="dxa" w:w="2492"/>
          </w:tcPr>
          <w:p>
            <w:pPr>
              <w:pStyle w:val="null3"/>
            </w:pPr>
            <w:r>
              <w:rPr>
                <w:rFonts w:ascii="仿宋_GB2312" w:hAnsi="仿宋_GB2312" w:cs="仿宋_GB2312" w:eastAsia="仿宋_GB2312"/>
              </w:rPr>
              <w:t>制定详细周全合理化建议，包括但不限于病媒的防制措施，如何避免病媒的传播，采购人如何增强消杀意识的内容。 1、方案明确、完善，可行性强，得10分； 2、方案较为明确，可行性一般，得8分； 3、方案笼统，可行性差，有待优化，得5分； 4、方案内容简洁，无针对性，得3分；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供应商须提供近三年（2022年1月至今）类似项目业绩以合同签订日期为准，每提供一份得2分，最高得10分。 注：业绩须提供合同复印件，并加盖供应商公章。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