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版本号：SXCC–[2025]–DL038.1B120250619001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洩湖镇国道两侧提升改造建设项目(二次)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SXCC–[2025]–DL038.1B1</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洩湖镇国道两侧提升改造建设项目(二次)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SXCC–[2025]–DL038.1B1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洩湖镇国道两侧提升改造建设项目(二次)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本项目为洩湖镇国道两侧提升改造建设项目，主要建设内容为原人行道拆除及新建道路、原道牙拆除及新建道牙、播撒草籽、垃圾外运、路南清理1米宽等。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采购包1（洩湖镇国道两侧提升改造建设项目）：属于专门面向中小企业采购。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信用信息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3、资质要求：投标供应商须具备行业主管部门颁发的市政公用工程施工总承包三级及以上资质并具有有效的安全生产许可证。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4、项目经理资质要求：投标供应商拟派项目经理须具备行业主管部门颁发的市政公用工程专业二级及以上建造师资质及有效的安全生产考核合格证书（建安B证），在本单位注册且无在建工程。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5、供应商基本信息及项目经理基本信息查询：投标供应商基本信息及项目经理基本信息应在“陕西建设网（http://js.shaanxi.gov.cn/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1）投标供应商不得在各级诚信信息平台被列为投标受限制的行为人；（2）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029-82842003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1,899,719.83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洩湖镇国道两侧提升改造建设项目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标的名称：洩湖镇国道两侧提升改造建设项目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本项目为</w:t>
            </w:r>
            <w:r>
              <w:rPr>
                <w:rFonts w:ascii="仿宋_GB2312" w:hAnsi="仿宋_GB2312" w:cs="仿宋_GB2312" w:eastAsia="仿宋_GB2312"/>
                <w:sz w:val="28"/>
                <w:color w:val="000000"/>
                <w:shd w:fill="FFFFFF" w:val="clear"/>
              </w:rPr>
              <w:t>洩湖镇国道两侧提升改造建设项目，</w:t>
            </w:r>
            <w:r>
              <w:rPr>
                <w:rFonts w:ascii="仿宋_GB2312" w:hAnsi="仿宋_GB2312" w:cs="仿宋_GB2312" w:eastAsia="仿宋_GB2312"/>
                <w:sz w:val="28"/>
                <w:color w:val="000000"/>
                <w:shd w:fill="FFFFFF" w:val="clear"/>
              </w:rPr>
              <w:t>主要建设内容为原人行道拆除及新建道路、原道牙拆除及新建道牙、播撒草籽、垃圾外运、路南清理</w:t>
            </w:r>
            <w:r>
              <w:rPr>
                <w:rFonts w:ascii="仿宋_GB2312" w:hAnsi="仿宋_GB2312" w:cs="仿宋_GB2312" w:eastAsia="仿宋_GB2312"/>
                <w:sz w:val="28"/>
                <w:color w:val="000000"/>
                <w:shd w:fill="FFFFFF" w:val="clear"/>
              </w:rPr>
              <w:t>1米宽等</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 xml:space="preserve"> </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w:t>
            </w:r>
            <w:r>
              <w:rPr>
                <w:rFonts w:ascii="仿宋_GB2312" w:hAnsi="仿宋_GB2312" w:cs="仿宋_GB2312" w:eastAsia="仿宋_GB2312"/>
                <w:sz w:val="28"/>
                <w:color w:val="000000"/>
                <w:shd w:fill="FFFFFF" w:val="clear"/>
              </w:rPr>
              <w:t>详见招标文件工程量清单及图纸全部内容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w:t>
            </w:r>
            <w:r>
              <w:rPr>
                <w:rFonts w:ascii="仿宋_GB2312" w:hAnsi="仿宋_GB2312" w:cs="仿宋_GB2312" w:eastAsia="仿宋_GB2312"/>
                <w:sz w:val="28"/>
              </w:rPr>
              <w:t>蓝田县洩湖镇</w:t>
            </w:r>
          </w:p>
          <w:p>
            <w:pPr>
              <w:pStyle w:val="null3"/>
              <w:spacing w:before="105" w:after="105"/>
              <w:ind w:firstLine="560"/>
              <w:jc w:val="both"/>
            </w:pPr>
            <w:r>
              <w:rPr>
                <w:rFonts w:ascii="仿宋_GB2312" w:hAnsi="仿宋_GB2312" w:cs="仿宋_GB2312" w:eastAsia="仿宋_GB2312"/>
                <w:sz w:val="28"/>
                <w:color w:val="000000"/>
                <w:shd w:fill="FFFFFF" w:val="clear"/>
              </w:rPr>
              <w:t>3、计划工期：60日历天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1、依据提供资料及答疑回复和项目相关的标准、规范等技术资料；</w:t>
            </w:r>
          </w:p>
          <w:p>
            <w:pPr>
              <w:pStyle w:val="null3"/>
              <w:spacing w:before="105" w:after="105"/>
              <w:ind w:firstLine="560"/>
              <w:jc w:val="both"/>
            </w:pPr>
            <w:r>
              <w:rPr>
                <w:rFonts w:ascii="仿宋_GB2312" w:hAnsi="仿宋_GB2312" w:cs="仿宋_GB2312" w:eastAsia="仿宋_GB2312"/>
                <w:sz w:val="28"/>
                <w:color w:val="000000"/>
                <w:shd w:fill="FFFFFF" w:val="clear"/>
              </w:rPr>
              <w:t>2、依据《陕西省建设工程工程量清单计价规则》(2009)；</w:t>
            </w:r>
          </w:p>
          <w:p>
            <w:pPr>
              <w:pStyle w:val="null3"/>
              <w:spacing w:before="105" w:after="105"/>
              <w:ind w:firstLine="560"/>
              <w:jc w:val="both"/>
            </w:pPr>
            <w:r>
              <w:rPr>
                <w:rFonts w:ascii="仿宋_GB2312" w:hAnsi="仿宋_GB2312" w:cs="仿宋_GB2312" w:eastAsia="仿宋_GB2312"/>
                <w:sz w:val="28"/>
                <w:color w:val="000000"/>
                <w:shd w:fill="FFFFFF" w:val="clear"/>
              </w:rPr>
              <w:t>3、《关于调整陕西省建设工程计价依据的通知》（陕建发 【2019】45号文）；</w:t>
            </w:r>
          </w:p>
          <w:p>
            <w:pPr>
              <w:pStyle w:val="null3"/>
              <w:spacing w:before="105" w:after="105"/>
              <w:ind w:firstLine="560"/>
              <w:jc w:val="both"/>
            </w:pPr>
            <w:r>
              <w:rPr>
                <w:rFonts w:ascii="仿宋_GB2312" w:hAnsi="仿宋_GB2312" w:cs="仿宋_GB2312" w:eastAsia="仿宋_GB2312"/>
                <w:sz w:val="28"/>
                <w:color w:val="000000"/>
                <w:shd w:fill="FFFFFF" w:val="clear"/>
              </w:rPr>
              <w:t>4、《关于增加建设工程扬尘治理专项措施费》（陕建发【2017】270号文件）；</w:t>
            </w:r>
          </w:p>
          <w:p>
            <w:pPr>
              <w:pStyle w:val="null3"/>
              <w:spacing w:before="105" w:after="105"/>
              <w:ind w:firstLine="560"/>
              <w:jc w:val="both"/>
            </w:pPr>
            <w:r>
              <w:rPr>
                <w:rFonts w:ascii="仿宋_GB2312" w:hAnsi="仿宋_GB2312" w:cs="仿宋_GB2312" w:eastAsia="仿宋_GB2312"/>
                <w:sz w:val="28"/>
                <w:color w:val="000000"/>
                <w:shd w:fill="FFFFFF" w:val="clear"/>
              </w:rPr>
              <w:t>5、《关于发布我省落实建筑工人实名制管理计价依据的通知》 （陕建发【2019】1246号文件）；</w:t>
            </w:r>
          </w:p>
          <w:p>
            <w:pPr>
              <w:pStyle w:val="null3"/>
              <w:spacing w:before="105" w:after="105"/>
              <w:ind w:firstLine="560"/>
              <w:jc w:val="both"/>
            </w:pPr>
            <w:r>
              <w:rPr>
                <w:rFonts w:ascii="仿宋_GB2312" w:hAnsi="仿宋_GB2312" w:cs="仿宋_GB2312" w:eastAsia="仿宋_GB2312"/>
                <w:sz w:val="28"/>
                <w:color w:val="000000"/>
                <w:shd w:fill="FFFFFF" w:val="clear"/>
              </w:rPr>
              <w:t>6、《陕西省住房和城乡建设厅关于建筑施工安全生产责任保险费用计价的通知》（陕建发【2020】1097号文件）；</w:t>
            </w:r>
          </w:p>
          <w:p>
            <w:pPr>
              <w:pStyle w:val="null3"/>
              <w:spacing w:before="105" w:after="105"/>
              <w:ind w:firstLine="560"/>
              <w:jc w:val="both"/>
            </w:pPr>
            <w:r>
              <w:rPr>
                <w:rFonts w:ascii="仿宋_GB2312" w:hAnsi="仿宋_GB2312" w:cs="仿宋_GB2312" w:eastAsia="仿宋_GB2312"/>
                <w:sz w:val="28"/>
                <w:color w:val="000000"/>
                <w:shd w:fill="FFFFFF" w:val="clear"/>
              </w:rPr>
              <w:t>7、正常施工组织设计及施工方法；</w:t>
            </w:r>
          </w:p>
          <w:p>
            <w:pPr>
              <w:pStyle w:val="null3"/>
              <w:spacing w:before="105" w:after="105"/>
              <w:ind w:firstLine="560"/>
              <w:jc w:val="both"/>
            </w:pPr>
            <w:r>
              <w:rPr>
                <w:rFonts w:ascii="仿宋_GB2312" w:hAnsi="仿宋_GB2312" w:cs="仿宋_GB2312" w:eastAsia="仿宋_GB2312"/>
                <w:sz w:val="28"/>
                <w:color w:val="000000"/>
                <w:shd w:fill="FFFFFF" w:val="clear"/>
              </w:rPr>
              <w:t>8、与建设工程项目有关的标准、规范、图集、技术资料；</w:t>
            </w:r>
          </w:p>
          <w:p>
            <w:pPr>
              <w:pStyle w:val="null3"/>
              <w:spacing w:before="105" w:after="105"/>
              <w:ind w:firstLine="560"/>
              <w:jc w:val="both"/>
            </w:pPr>
            <w:r>
              <w:rPr>
                <w:rFonts w:ascii="仿宋_GB2312" w:hAnsi="仿宋_GB2312" w:cs="仿宋_GB2312" w:eastAsia="仿宋_GB2312"/>
                <w:sz w:val="28"/>
                <w:color w:val="000000"/>
                <w:shd w:fill="FFFFFF" w:val="clear"/>
              </w:rPr>
              <w:t>9、设计图纸：《</w:t>
            </w:r>
            <w:r>
              <w:rPr>
                <w:rFonts w:ascii="仿宋_GB2312" w:hAnsi="仿宋_GB2312" w:cs="仿宋_GB2312" w:eastAsia="仿宋_GB2312"/>
                <w:sz w:val="28"/>
              </w:rPr>
              <w:t>洩湖镇国道两侧提升改造建设项目</w:t>
            </w:r>
            <w:r>
              <w:rPr>
                <w:rFonts w:ascii="仿宋_GB2312" w:hAnsi="仿宋_GB2312" w:cs="仿宋_GB2312" w:eastAsia="仿宋_GB2312"/>
                <w:sz w:val="28"/>
                <w:color w:val="000000"/>
                <w:shd w:fill="FFFFFF" w:val="clear"/>
              </w:rPr>
              <w:t>》设计图纸及图纸设计问题答疑。</w:t>
            </w:r>
          </w:p>
          <w:p>
            <w:pPr>
              <w:pStyle w:val="null3"/>
              <w:spacing w:before="105" w:after="105"/>
              <w:jc w:val="both"/>
            </w:pPr>
            <w:r>
              <w:rPr>
                <w:rFonts w:ascii="仿宋_GB2312" w:hAnsi="仿宋_GB2312" w:cs="仿宋_GB2312" w:eastAsia="仿宋_GB2312"/>
                <w:sz w:val="28"/>
                <w:b/>
                <w:color w:val="000000"/>
                <w:shd w:fill="FFFFFF" w:val="clear"/>
              </w:rPr>
              <w:t>四、编制使用软件</w:t>
            </w:r>
          </w:p>
          <w:p>
            <w:pPr>
              <w:pStyle w:val="null3"/>
              <w:spacing w:before="105" w:after="105"/>
              <w:ind w:firstLine="560"/>
              <w:jc w:val="both"/>
            </w:pPr>
            <w:r>
              <w:rPr>
                <w:rFonts w:ascii="仿宋_GB2312" w:hAnsi="仿宋_GB2312" w:cs="仿宋_GB2312" w:eastAsia="仿宋_GB2312"/>
                <w:sz w:val="28"/>
                <w:color w:val="000000"/>
                <w:shd w:fill="FFFFFF" w:val="clear"/>
              </w:rPr>
              <w:t>广联达云计价平台</w:t>
            </w:r>
            <w:r>
              <w:rPr>
                <w:rFonts w:ascii="仿宋_GB2312" w:hAnsi="仿宋_GB2312" w:cs="仿宋_GB2312" w:eastAsia="仿宋_GB2312"/>
                <w:sz w:val="28"/>
                <w:color w:val="000000"/>
                <w:shd w:fill="FFFFFF" w:val="clear"/>
              </w:rPr>
              <w:t>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投标供应商基本信息及项目经理基本信息应在“陕西建设网（http://js.shaanxi.gov.cn/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投标供应商提供2022年5月1日（以合同签订日期为准）至今的类似项目业绩，每提供一份得1分，最高得5分。(合同复印件加盖公章附在投标文件中，否则不作为评审依据）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施工环保、“治污减霾 ”措施计划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技术方案内容完全满足全部评审标准得6.5分； 技术方案内容基本满足全部评审标准得6.0分；技术方案内容每有一处缺陷扣0.5分，扣完为止，不计负分；其他或未提供得0分。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技术方案内容基本满足全部评审标准得4.0分；技术方案内容每有一处缺陷扣0.5分，扣完为止，不计负分；其他或未提供得0分。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技术方案内容完全满足全部评审标准得4.5分； 技术方案内容基本满足全部评审标准得4.0分；技术方案内容每有一处缺陷扣0.5分，扣完为止，不计负分；其他或未提供得0分。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技术方案内容完全满足全部评审标准得4.0分； 技术方案内容基本满足全部评审标准得3.0分；技术方案内容每有一处缺陷扣0.5分，扣完为止，不计负分；其他或未提供得0分。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