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版本号：WFZB-2025-J-062520250625001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蓝田县安村镇2025年革命老区吴庄村村庄基础设施提升项目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WFZB-2025-J-0625</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蓝田县安村镇2025年革命老区吴庄村村庄基础设施提升项目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WFZB-2025-J-0625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蓝田县安村镇2025年革命老区吴庄村村庄基础设施提升项目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拆除及新建排水渠、新做混凝土路面、拆除及新做混凝土道牙石、移电杆、拆除破损透水砖、新建小广场等。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采购包1（蓝田县安村镇2025年革命老区吴庄村村庄基础设施提升项目）：属于专门面向中小企业采购。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2、拟派项目负责人资质和专业要求：投标供应商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3、身份证明：法定代表人授权书（法定代表人直接参加磋商，须提供法定代表人身份证明）；</w:t>
      </w:r>
    </w:p>
    <w:p>
      <w:pPr>
        <w:pStyle w:val="null3"/>
      </w:pPr>
      <w:r>
        <w:rPr>
          <w:rFonts w:ascii="仿宋_GB2312" w:hAnsi="仿宋_GB2312" w:cs="仿宋_GB2312" w:eastAsia="仿宋_GB2312"/>
        </w:rPr>
        <w:t>4、投标供应商基本信息及项目经理基本信息：标供应商基本信息及项目经理基本信息应在“陕西建设网（http://js.shaanxi.gov.cn/）或陕西省建筑市场监管与诚信信息发布平台”可查询；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5、承诺书：投标供应商不得在各级诚信信息平台被列为投标受限制的行为人（提供承诺）；</w:t>
      </w:r>
    </w:p>
    <w:p>
      <w:pPr>
        <w:pStyle w:val="null3"/>
      </w:pPr>
      <w:r>
        <w:rPr>
          <w:rFonts w:ascii="仿宋_GB2312" w:hAnsi="仿宋_GB2312" w:cs="仿宋_GB2312" w:eastAsia="仿宋_GB2312"/>
        </w:rPr>
        <w:t>6、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8、非联合体声明：本项目不接受联合体投标，单位负责人为同一人或者存在直接控股、管理关系的不同供应商，不得参加同一合同项下的政府采购活动。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15829353030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17791928675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 2、招标代理服务费由成交供应商支付，在领取《成交通知书》前，由成交供应商一次性支付给陕西天丞伟丰项目管理有限公司。 3、招标代理服务费缴纳账户：名称：陕西天丞伟丰项目管理有限公司 纳税人识别号：91610122MA6U98CR3M 单位地址：陕西省西安市灞桥区长乐东路民政局家属院一号楼二单元1001号 开户行：中国建设银行股份有限公司蓝田县支行 账号：6105 0170 5305 0000 0607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1,499,876.50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蓝田县安村镇2025年革命老区吴庄村村庄基础设施提升项目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标的名称：蓝田县安村镇2025年革命老区吴庄村村庄基础设施提升项目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工程内容和实施地点、计划工期、缺陷责任期、质量保修期</w:t>
            </w:r>
          </w:p>
          <w:p>
            <w:pPr>
              <w:pStyle w:val="null3"/>
              <w:ind w:firstLine="420"/>
              <w:jc w:val="left"/>
            </w:pPr>
            <w:r>
              <w:rPr>
                <w:rFonts w:ascii="仿宋_GB2312" w:hAnsi="仿宋_GB2312" w:cs="仿宋_GB2312" w:eastAsia="仿宋_GB2312"/>
                <w:sz w:val="28"/>
              </w:rPr>
              <w:t>1、工程内容： 拆除及新建排水渠、新做混凝土路面、拆除及新做混凝土道牙石、移电杆、拆除破损透水砖、新建小广场等。</w:t>
            </w:r>
          </w:p>
          <w:p>
            <w:pPr>
              <w:pStyle w:val="null3"/>
              <w:ind w:firstLine="420"/>
              <w:jc w:val="both"/>
            </w:pPr>
            <w:r>
              <w:rPr>
                <w:rFonts w:ascii="仿宋_GB2312" w:hAnsi="仿宋_GB2312" w:cs="仿宋_GB2312" w:eastAsia="仿宋_GB2312"/>
                <w:sz w:val="28"/>
              </w:rPr>
              <w:t>2、实施地点：蓝田县</w:t>
            </w:r>
          </w:p>
          <w:p>
            <w:pPr>
              <w:pStyle w:val="null3"/>
              <w:ind w:firstLine="420"/>
              <w:jc w:val="both"/>
            </w:pPr>
            <w:r>
              <w:rPr>
                <w:rFonts w:ascii="仿宋_GB2312" w:hAnsi="仿宋_GB2312" w:cs="仿宋_GB2312" w:eastAsia="仿宋_GB2312"/>
                <w:sz w:val="28"/>
              </w:rPr>
              <w:t>3、计划工期：合同签订之日起50个日历日。</w:t>
            </w:r>
          </w:p>
          <w:p>
            <w:pPr>
              <w:pStyle w:val="null3"/>
              <w:ind w:firstLine="420"/>
              <w:jc w:val="both"/>
            </w:pPr>
            <w:r>
              <w:rPr>
                <w:rFonts w:ascii="仿宋_GB2312" w:hAnsi="仿宋_GB2312" w:cs="仿宋_GB2312" w:eastAsia="仿宋_GB2312"/>
                <w:sz w:val="28"/>
              </w:rPr>
              <w:t>4、缺陷责任期：自竣工验收合格之日起12个月</w:t>
            </w:r>
          </w:p>
          <w:p>
            <w:pPr>
              <w:pStyle w:val="null3"/>
              <w:ind w:firstLine="420"/>
              <w:jc w:val="both"/>
            </w:pPr>
            <w:r>
              <w:rPr>
                <w:rFonts w:ascii="仿宋_GB2312" w:hAnsi="仿宋_GB2312" w:cs="仿宋_GB2312" w:eastAsia="仿宋_GB2312"/>
                <w:sz w:val="28"/>
              </w:rPr>
              <w:t>5、质量保修期：不少于12个月</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工程量清单和计价依据</w:t>
            </w:r>
          </w:p>
          <w:p>
            <w:pPr>
              <w:pStyle w:val="null3"/>
              <w:ind w:firstLine="560"/>
              <w:jc w:val="both"/>
            </w:pPr>
            <w:r>
              <w:rPr>
                <w:rFonts w:ascii="仿宋_GB2312" w:hAnsi="仿宋_GB2312" w:cs="仿宋_GB2312" w:eastAsia="仿宋_GB2312"/>
                <w:sz w:val="28"/>
              </w:rPr>
              <w:t>1、按工程量清单计价法编制，按《陕西省建设工程工程量清单计价规则》（2009）及相关费用文件；</w:t>
            </w:r>
          </w:p>
          <w:p>
            <w:pPr>
              <w:pStyle w:val="null3"/>
              <w:ind w:firstLine="560"/>
              <w:jc w:val="both"/>
            </w:pPr>
            <w:r>
              <w:rPr>
                <w:rFonts w:ascii="仿宋_GB2312" w:hAnsi="仿宋_GB2312" w:cs="仿宋_GB2312" w:eastAsia="仿宋_GB2312"/>
                <w:sz w:val="28"/>
              </w:rPr>
              <w:t>2、《陕西省建筑、装饰工程消耗量定额》（2004）及补充定额；《陕西省建筑、装饰工程价目表》（2009）及参考费率；</w:t>
            </w:r>
          </w:p>
          <w:p>
            <w:pPr>
              <w:pStyle w:val="null3"/>
              <w:ind w:firstLine="560"/>
              <w:jc w:val="both"/>
            </w:pPr>
            <w:r>
              <w:rPr>
                <w:rFonts w:ascii="仿宋_GB2312" w:hAnsi="仿宋_GB2312" w:cs="仿宋_GB2312" w:eastAsia="仿宋_GB2312"/>
                <w:sz w:val="28"/>
              </w:rPr>
              <w:t>3、《陕西省安装工程消耗量定额》（2004）及补充定额；《陕西省安装工程价目表》（2009）；</w:t>
            </w:r>
          </w:p>
          <w:p>
            <w:pPr>
              <w:pStyle w:val="null3"/>
              <w:ind w:firstLine="560"/>
              <w:jc w:val="both"/>
            </w:pPr>
            <w:r>
              <w:rPr>
                <w:rFonts w:ascii="仿宋_GB2312" w:hAnsi="仿宋_GB2312" w:cs="仿宋_GB2312" w:eastAsia="仿宋_GB2312"/>
                <w:sz w:val="28"/>
              </w:rPr>
              <w:t>4、《陕西省园林绿化工程价目表》（2009）；</w:t>
            </w:r>
          </w:p>
          <w:p>
            <w:pPr>
              <w:pStyle w:val="null3"/>
              <w:ind w:firstLine="560"/>
              <w:jc w:val="both"/>
            </w:pPr>
            <w:r>
              <w:rPr>
                <w:rFonts w:ascii="仿宋_GB2312" w:hAnsi="仿宋_GB2312" w:cs="仿宋_GB2312" w:eastAsia="仿宋_GB2312"/>
                <w:sz w:val="28"/>
              </w:rPr>
              <w:t>5、人工费执行陕建发【2021】1097 号文按差价计入；规费执行陕建发【2020】1097 号文；税金执行陕建发【2019】45 号文件；</w:t>
            </w:r>
          </w:p>
          <w:p>
            <w:pPr>
              <w:pStyle w:val="null3"/>
              <w:ind w:firstLine="560"/>
              <w:jc w:val="both"/>
            </w:pPr>
            <w:r>
              <w:rPr>
                <w:rFonts w:ascii="仿宋_GB2312" w:hAnsi="仿宋_GB2312" w:cs="仿宋_GB2312" w:eastAsia="仿宋_GB2312"/>
                <w:sz w:val="28"/>
              </w:rPr>
              <w:t>6、劳保费根据《陕西省住房和城乡建设厅关于全省统一停止收缴建筑业劳保费用的通知》陕建发【2021】1021 号文件，不再扣除劳保费；</w:t>
            </w:r>
          </w:p>
          <w:p>
            <w:pPr>
              <w:pStyle w:val="null3"/>
              <w:ind w:firstLine="560"/>
              <w:jc w:val="both"/>
            </w:pPr>
            <w:r>
              <w:rPr>
                <w:rFonts w:ascii="仿宋_GB2312" w:hAnsi="仿宋_GB2312" w:cs="仿宋_GB2312" w:eastAsia="仿宋_GB2312"/>
                <w:sz w:val="28"/>
              </w:rPr>
              <w:t>7、实名制管理费执行陕建发【2019】1246 号文；</w:t>
            </w:r>
          </w:p>
          <w:p>
            <w:pPr>
              <w:pStyle w:val="null3"/>
              <w:ind w:firstLine="560"/>
              <w:jc w:val="both"/>
            </w:pPr>
            <w:r>
              <w:rPr>
                <w:rFonts w:ascii="仿宋_GB2312" w:hAnsi="仿宋_GB2312" w:cs="仿宋_GB2312" w:eastAsia="仿宋_GB2312"/>
                <w:sz w:val="28"/>
              </w:rPr>
              <w:t>8、材料价执行西安市造价信息(蓝田县 2025年 4月)信息价及市场价;</w:t>
            </w:r>
          </w:p>
          <w:p>
            <w:pPr>
              <w:pStyle w:val="null3"/>
              <w:ind w:firstLine="560"/>
              <w:jc w:val="both"/>
            </w:pPr>
            <w:r>
              <w:rPr>
                <w:rFonts w:ascii="仿宋_GB2312" w:hAnsi="仿宋_GB2312" w:cs="仿宋_GB2312" w:eastAsia="仿宋_GB2312"/>
                <w:sz w:val="28"/>
              </w:rPr>
              <w:t>9、项目设计施工图及相关法律法规、标准图集、相关规范等。</w:t>
            </w:r>
          </w:p>
          <w:p>
            <w:pPr>
              <w:pStyle w:val="null3"/>
              <w:ind w:firstLine="560"/>
              <w:jc w:val="both"/>
            </w:pPr>
            <w:r>
              <w:rPr>
                <w:rFonts w:ascii="仿宋_GB2312" w:hAnsi="仿宋_GB2312" w:cs="仿宋_GB2312" w:eastAsia="仿宋_GB2312"/>
                <w:sz w:val="28"/>
              </w:rPr>
              <w:t>10、工程量清单计价软件使用“广联达云计价平台 GCCP6.4100.23.122”</w:t>
            </w:r>
          </w:p>
          <w:p>
            <w:pPr>
              <w:pStyle w:val="null3"/>
              <w:ind w:firstLine="560"/>
              <w:jc w:val="both"/>
            </w:pPr>
            <w:r>
              <w:rPr>
                <w:rFonts w:ascii="仿宋_GB2312" w:hAnsi="仿宋_GB2312" w:cs="仿宋_GB2312" w:eastAsia="仿宋_GB2312"/>
                <w:sz w:val="28"/>
              </w:rPr>
              <w:t>2、工程量清单</w:t>
            </w:r>
          </w:p>
          <w:p>
            <w:pPr>
              <w:pStyle w:val="null3"/>
              <w:ind w:firstLine="560"/>
              <w:jc w:val="both"/>
            </w:pP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在施工期间，中标供应商必须注意施工人员的人身安全，加强安全措施，并对施工人员进行安全教育。</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合同价款：本项目为固定总价合同。</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rPr>
              <w:t>1）合同签订乙方进场后，甲方向乙方支付合同总价款的40%作为预付款 ；</w:t>
            </w:r>
          </w:p>
          <w:p>
            <w:pPr>
              <w:pStyle w:val="null3"/>
              <w:ind w:firstLine="560"/>
              <w:jc w:val="both"/>
            </w:pPr>
            <w:r>
              <w:rPr>
                <w:rFonts w:ascii="仿宋_GB2312" w:hAnsi="仿宋_GB2312" w:cs="仿宋_GB2312" w:eastAsia="仿宋_GB2312"/>
                <w:sz w:val="28"/>
              </w:rPr>
              <w:t>2）工程完工后，甲方组织有关部门验收合格后，支付至合同总价款的80%；</w:t>
            </w:r>
          </w:p>
          <w:p>
            <w:pPr>
              <w:pStyle w:val="null3"/>
              <w:ind w:firstLine="560"/>
              <w:jc w:val="both"/>
            </w:pPr>
            <w:r>
              <w:rPr>
                <w:rFonts w:ascii="仿宋_GB2312" w:hAnsi="仿宋_GB2312" w:cs="仿宋_GB2312" w:eastAsia="仿宋_GB2312"/>
                <w:sz w:val="28"/>
              </w:rPr>
              <w:t>3）工程结算审核完成后支付至工程审核价款的100%。</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对供应商的业绩要求</w:t>
            </w:r>
          </w:p>
          <w:p>
            <w:pPr>
              <w:pStyle w:val="null3"/>
              <w:ind w:left="420" w:firstLine="504"/>
              <w:jc w:val="both"/>
            </w:pPr>
            <w:r>
              <w:rPr>
                <w:rFonts w:ascii="仿宋_GB2312" w:hAnsi="仿宋_GB2312" w:cs="仿宋_GB2312" w:eastAsia="仿宋_GB2312"/>
                <w:sz w:val="28"/>
              </w:rPr>
              <w:t>提供</w:t>
            </w:r>
            <w:r>
              <w:rPr>
                <w:rFonts w:ascii="仿宋_GB2312" w:hAnsi="仿宋_GB2312" w:cs="仿宋_GB2312" w:eastAsia="仿宋_GB2312"/>
                <w:sz w:val="28"/>
              </w:rPr>
              <w:t>20</w:t>
            </w:r>
            <w:r>
              <w:rPr>
                <w:rFonts w:ascii="仿宋_GB2312" w:hAnsi="仿宋_GB2312" w:cs="仿宋_GB2312" w:eastAsia="仿宋_GB2312"/>
                <w:sz w:val="28"/>
              </w:rPr>
              <w:t>22</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日以来</w:t>
            </w:r>
            <w:r>
              <w:rPr>
                <w:rFonts w:ascii="仿宋_GB2312" w:hAnsi="仿宋_GB2312" w:cs="仿宋_GB2312" w:eastAsia="仿宋_GB2312"/>
                <w:sz w:val="28"/>
              </w:rPr>
              <w:t>类似</w:t>
            </w:r>
            <w:r>
              <w:rPr>
                <w:rFonts w:ascii="仿宋_GB2312" w:hAnsi="仿宋_GB2312" w:cs="仿宋_GB2312" w:eastAsia="仿宋_GB2312"/>
                <w:sz w:val="28"/>
              </w:rPr>
              <w:t>项目业绩，以合同签订日期为准，并加盖供应</w:t>
            </w:r>
            <w:r>
              <w:rPr>
                <w:rFonts w:ascii="仿宋_GB2312" w:hAnsi="仿宋_GB2312" w:cs="仿宋_GB2312" w:eastAsia="仿宋_GB2312"/>
                <w:sz w:val="28"/>
              </w:rPr>
              <w:t>商公章的合同关键页复印件。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质量验收标准或规范</w:t>
            </w:r>
          </w:p>
          <w:p>
            <w:pPr>
              <w:pStyle w:val="null3"/>
              <w:ind w:left="420" w:firstLine="280"/>
              <w:jc w:val="both"/>
            </w:pPr>
            <w:r>
              <w:rPr>
                <w:rFonts w:ascii="仿宋_GB2312" w:hAnsi="仿宋_GB2312" w:cs="仿宋_GB2312" w:eastAsia="仿宋_GB2312"/>
                <w:sz w:val="28"/>
              </w:rPr>
              <w:t>质量标准：</w:t>
            </w:r>
            <w:r>
              <w:rPr>
                <w:rFonts w:ascii="仿宋_GB2312" w:hAnsi="仿宋_GB2312" w:cs="仿宋_GB2312" w:eastAsia="仿宋_GB2312"/>
                <w:sz w:val="28"/>
              </w:rPr>
              <w:t>达到国家规定的合格标准</w:t>
            </w:r>
          </w:p>
          <w:p>
            <w:pPr>
              <w:pStyle w:val="null3"/>
              <w:ind w:left="420" w:firstLine="280"/>
              <w:jc w:val="both"/>
            </w:pPr>
            <w:r>
              <w:rPr>
                <w:rFonts w:ascii="仿宋_GB2312" w:hAnsi="仿宋_GB2312" w:cs="仿宋_GB2312" w:eastAsia="仿宋_GB2312"/>
                <w:sz w:val="28"/>
              </w:rPr>
              <w:t>验收标准或规范：</w:t>
            </w:r>
            <w:r>
              <w:rPr>
                <w:rFonts w:ascii="仿宋_GB2312" w:hAnsi="仿宋_GB2312" w:cs="仿宋_GB2312" w:eastAsia="仿宋_GB2312"/>
                <w:sz w:val="28"/>
              </w:rPr>
              <w:t>达到国家标准，行业标准及采购人要求。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违约责任</w:t>
            </w:r>
          </w:p>
          <w:p>
            <w:pPr>
              <w:pStyle w:val="null3"/>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应按照合同规定的期限完成</w:t>
            </w:r>
            <w:r>
              <w:rPr>
                <w:rFonts w:ascii="仿宋_GB2312" w:hAnsi="仿宋_GB2312" w:cs="仿宋_GB2312" w:eastAsia="仿宋_GB2312"/>
                <w:sz w:val="28"/>
              </w:rPr>
              <w:t>工程</w:t>
            </w:r>
            <w:r>
              <w:rPr>
                <w:rFonts w:ascii="仿宋_GB2312" w:hAnsi="仿宋_GB2312" w:cs="仿宋_GB2312" w:eastAsia="仿宋_GB2312"/>
                <w:sz w:val="28"/>
              </w:rPr>
              <w:t>，每延迟一天应承担当期应付款</w:t>
            </w:r>
            <w:r>
              <w:rPr>
                <w:rFonts w:ascii="仿宋_GB2312" w:hAnsi="仿宋_GB2312" w:cs="仿宋_GB2312" w:eastAsia="仿宋_GB2312"/>
                <w:sz w:val="28"/>
              </w:rPr>
              <w:t>2%的违约金，违约金累计不超过当期应付款10%。若违约金累计已达上限，乙方仍未履行，甲方有权解除合同。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与本工程相关的特别说明</w:t>
            </w:r>
          </w:p>
          <w:p>
            <w:pPr>
              <w:pStyle w:val="null3"/>
              <w:ind w:left="420"/>
              <w:jc w:val="both"/>
            </w:pPr>
            <w:r>
              <w:rPr>
                <w:rFonts w:ascii="仿宋_GB2312" w:hAnsi="仿宋_GB2312" w:cs="仿宋_GB2312" w:eastAsia="仿宋_GB2312"/>
                <w:sz w:val="28"/>
              </w:rPr>
              <w:t xml:space="preserve">   </w:t>
            </w:r>
            <w:r>
              <w:rPr>
                <w:rFonts w:ascii="仿宋_GB2312" w:hAnsi="仿宋_GB2312" w:cs="仿宋_GB2312" w:eastAsia="仿宋_GB2312"/>
                <w:sz w:val="28"/>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1、工期：50日历天。 2、付款方式：合同签订乙方进场后，甲方向乙方支付合同总价款的40%作为预付款 ；工程完工后，甲方组织有关部门验收合格后，支付至合同总价款的80%；工程结算审核完成后支付至工程审核价款的100%。3、缺陷责任期：1年。 4、建设地点：蓝田县安村镇吴庄村。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标供应商基本信息及项目经理基本信息应在“陕西建设网（http://js.shaanxi.gov.cn/）或陕西省建筑市场监管与诚信信息发布平台”可查询；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