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DA94FF">
      <w:pPr>
        <w:jc w:val="left"/>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（GF—201</w:t>
      </w:r>
      <w:r>
        <w:rPr>
          <w:rFonts w:hint="eastAsia" w:ascii="宋体" w:hAnsi="宋体" w:eastAsia="宋体"/>
          <w:bCs/>
          <w:color w:val="000000" w:themeColor="text1"/>
          <w:szCs w:val="21"/>
          <w14:textFill>
            <w14:solidFill>
              <w14:schemeClr w14:val="tx1"/>
            </w14:solidFill>
          </w14:textFill>
        </w:rPr>
        <w:t>7</w:t>
      </w:r>
      <w:r>
        <w:rPr>
          <w:rFonts w:ascii="宋体" w:hAnsi="宋体" w:eastAsia="宋体"/>
          <w:bCs/>
          <w:color w:val="000000" w:themeColor="text1"/>
          <w:szCs w:val="21"/>
          <w14:textFill>
            <w14:solidFill>
              <w14:schemeClr w14:val="tx1"/>
            </w14:solidFill>
          </w14:textFill>
        </w:rPr>
        <w:t>—</w:t>
      </w:r>
      <w:r>
        <w:rPr>
          <w:rFonts w:hint="eastAsia" w:ascii="宋体" w:hAnsi="宋体" w:eastAsia="宋体"/>
          <w:bCs/>
          <w:color w:val="000000" w:themeColor="text1"/>
          <w:szCs w:val="21"/>
          <w14:textFill>
            <w14:solidFill>
              <w14:schemeClr w14:val="tx1"/>
            </w14:solidFill>
          </w14:textFill>
        </w:rPr>
        <w:t>0201）</w:t>
      </w:r>
    </w:p>
    <w:p w14:paraId="6455CF45">
      <w:pPr>
        <w:jc w:val="center"/>
        <w:rPr>
          <w:rFonts w:ascii="宋体" w:hAnsi="宋体" w:eastAsia="宋体"/>
          <w:b/>
          <w:color w:val="000000" w:themeColor="text1"/>
          <w:szCs w:val="21"/>
          <w14:textFill>
            <w14:solidFill>
              <w14:schemeClr w14:val="tx1"/>
            </w14:solidFill>
          </w14:textFill>
        </w:rPr>
      </w:pPr>
    </w:p>
    <w:p w14:paraId="0BBE0F96">
      <w:pPr>
        <w:jc w:val="center"/>
        <w:rPr>
          <w:rFonts w:ascii="宋体" w:hAnsi="宋体" w:eastAsia="宋体"/>
          <w:b/>
          <w:color w:val="000000" w:themeColor="text1"/>
          <w:szCs w:val="21"/>
          <w14:textFill>
            <w14:solidFill>
              <w14:schemeClr w14:val="tx1"/>
            </w14:solidFill>
          </w14:textFill>
        </w:rPr>
      </w:pPr>
    </w:p>
    <w:p w14:paraId="35D3FDA0">
      <w:pPr>
        <w:jc w:val="center"/>
        <w:rPr>
          <w:rFonts w:ascii="宋体" w:hAnsi="宋体" w:eastAsia="宋体"/>
          <w:b/>
          <w:color w:val="000000" w:themeColor="text1"/>
          <w:szCs w:val="21"/>
          <w14:textFill>
            <w14:solidFill>
              <w14:schemeClr w14:val="tx1"/>
            </w14:solidFill>
          </w14:textFill>
        </w:rPr>
      </w:pPr>
    </w:p>
    <w:p w14:paraId="0299365A">
      <w:pPr>
        <w:jc w:val="center"/>
        <w:rPr>
          <w:rFonts w:ascii="宋体" w:hAnsi="宋体" w:eastAsia="宋体"/>
          <w:b/>
          <w:color w:val="000000" w:themeColor="text1"/>
          <w:szCs w:val="21"/>
          <w14:textFill>
            <w14:solidFill>
              <w14:schemeClr w14:val="tx1"/>
            </w14:solidFill>
          </w14:textFill>
        </w:rPr>
      </w:pPr>
    </w:p>
    <w:p w14:paraId="2D00D9FE">
      <w:pPr>
        <w:spacing w:line="360" w:lineRule="auto"/>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s="宋体"/>
          <w:bCs/>
          <w:color w:val="000000" w:themeColor="text1"/>
          <w:kern w:val="0"/>
          <w:sz w:val="52"/>
          <w:szCs w:val="52"/>
          <w14:textFill>
            <w14:solidFill>
              <w14:schemeClr w14:val="tx1"/>
            </w14:solidFill>
          </w14:textFill>
        </w:rPr>
        <w:t>建设工程施工合同</w:t>
      </w:r>
      <w:r>
        <w:rPr>
          <w:rFonts w:ascii="宋体" w:hAnsi="宋体" w:eastAsia="宋体" w:cs="宋体"/>
          <w:bCs/>
          <w:color w:val="000000" w:themeColor="text1"/>
          <w:kern w:val="0"/>
          <w:sz w:val="52"/>
          <w:szCs w:val="52"/>
          <w14:textFill>
            <w14:solidFill>
              <w14:schemeClr w14:val="tx1"/>
            </w14:solidFill>
          </w14:textFill>
        </w:rPr>
        <w:br w:type="textWrapping"/>
      </w:r>
    </w:p>
    <w:p w14:paraId="10163ADC">
      <w:pPr>
        <w:widowControl/>
        <w:jc w:val="center"/>
        <w:rPr>
          <w:rFonts w:ascii="宋体" w:hAnsi="宋体" w:eastAsia="宋体" w:cs="宋体"/>
          <w:b/>
          <w:bCs/>
          <w:color w:val="000000" w:themeColor="text1"/>
          <w:kern w:val="0"/>
          <w:sz w:val="36"/>
          <w:szCs w:val="36"/>
          <w14:textFill>
            <w14:solidFill>
              <w14:schemeClr w14:val="tx1"/>
            </w14:solidFill>
          </w14:textFill>
        </w:rPr>
      </w:pPr>
    </w:p>
    <w:p w14:paraId="471EAE7D">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7D098E26">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AD05A68">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3E29CEC">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6B5D710">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0D28037">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262CF466">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3876E02">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76A97B11">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EFD6BD7">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6804DA30">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165E02D">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6B76DF3">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0164F4B">
      <w:pPr>
        <w:ind w:right="2719" w:rightChars="1295" w:firstLine="3080" w:firstLineChars="1100"/>
        <w:rPr>
          <w:rFonts w:ascii="宋体" w:hAnsi="宋体" w:eastAsia="宋体"/>
          <w:b/>
          <w:color w:val="000000" w:themeColor="text1"/>
          <w:sz w:val="28"/>
          <w:szCs w:val="28"/>
          <w14:textFill>
            <w14:solidFill>
              <w14:schemeClr w14:val="tx1"/>
            </w14:solidFill>
          </w14:textFill>
        </w:rPr>
      </w:pPr>
      <w:r>
        <w:rPr>
          <w:rFonts w:ascii="宋体" w:hAnsi="宋体" w:eastAsia="宋体"/>
          <w:color w:val="000000" w:themeColor="text1"/>
          <w:sz w:val="28"/>
          <w:szCs w:val="28"/>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4342765</wp:posOffset>
                </wp:positionH>
                <wp:positionV relativeFrom="paragraph">
                  <wp:posOffset>79375</wp:posOffset>
                </wp:positionV>
                <wp:extent cx="723900" cy="457200"/>
                <wp:effectExtent l="9525" t="5715" r="9525" b="1333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cmpd="sng">
                          <a:solidFill>
                            <a:srgbClr val="FFFFFF"/>
                          </a:solidFill>
                          <a:miter lim="800000"/>
                        </a:ln>
                      </wps:spPr>
                      <wps:txbx>
                        <w:txbxContent>
                          <w:p w14:paraId="0C40F8E0">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41.95pt;margin-top:6.25pt;height:36pt;width:57pt;z-index:251659264;mso-width-relative:page;mso-height-relative:page;" filled="f" stroked="t" coordsize="21600,21600" o:gfxdata="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vSQhI9kAAAAJAQAADwAAAAAAAAABACAAAAAi&#10;AAAAZHJzL2Rvd25yZXYueG1sUEsBAhQAFAAAAAgAh07iQK0Kx35CAgAAaAQAAA4AAAAAAAAAAQAg&#10;AAAAKAEAAGRycy9lMm9Eb2MueG1sUEsFBgAAAAAGAAYAWQEAANwFAAAAAA==&#10;">
                <v:fill on="f" focussize="0,0"/>
                <v:stroke color="#FFFFFF" miterlimit="8" joinstyle="miter"/>
                <v:imagedata o:title=""/>
                <o:lock v:ext="edit" aspectratio="f"/>
                <v:textbox>
                  <w:txbxContent>
                    <w:p w14:paraId="0C40F8E0">
                      <w:pPr>
                        <w:rPr>
                          <w:b/>
                          <w:bCs/>
                          <w:sz w:val="32"/>
                        </w:rPr>
                      </w:pPr>
                      <w:r>
                        <w:rPr>
                          <w:rFonts w:hint="eastAsia"/>
                          <w:b/>
                          <w:bCs/>
                          <w:sz w:val="32"/>
                        </w:rPr>
                        <w:t>制定</w:t>
                      </w:r>
                    </w:p>
                  </w:txbxContent>
                </v:textbox>
              </v:shape>
            </w:pict>
          </mc:Fallback>
        </mc:AlternateContent>
      </w:r>
      <w:r>
        <w:rPr>
          <w:rFonts w:ascii="宋体" w:hAnsi="宋体" w:eastAsia="宋体"/>
          <w:b/>
          <w:color w:val="000000" w:themeColor="text1"/>
          <w:sz w:val="28"/>
          <w:szCs w:val="28"/>
          <w14:textFill>
            <w14:solidFill>
              <w14:schemeClr w14:val="tx1"/>
            </w14:solidFill>
          </w14:textFill>
        </w:rPr>
        <w:t>住房和城乡建设部</w:t>
      </w:r>
    </w:p>
    <w:p w14:paraId="12B718C2">
      <w:pPr>
        <w:ind w:right="2719" w:rightChars="1295" w:firstLine="2406" w:firstLineChars="856"/>
        <w:jc w:val="distribute"/>
        <w:rPr>
          <w:rFonts w:ascii="宋体" w:hAnsi="宋体" w:eastAsia="宋体"/>
          <w:b/>
          <w:color w:val="000000" w:themeColor="text1"/>
          <w:sz w:val="28"/>
          <w:szCs w:val="28"/>
          <w14:textFill>
            <w14:solidFill>
              <w14:schemeClr w14:val="tx1"/>
            </w14:solidFill>
          </w14:textFill>
        </w:rPr>
      </w:pPr>
      <w:r>
        <w:rPr>
          <w:rFonts w:ascii="宋体" w:hAnsi="宋体" w:eastAsia="宋体"/>
          <w:b/>
          <w:color w:val="000000" w:themeColor="text1"/>
          <w:sz w:val="28"/>
          <w:szCs w:val="28"/>
          <w14:textFill>
            <w14:solidFill>
              <w14:schemeClr w14:val="tx1"/>
            </w14:solidFill>
          </w14:textFill>
        </w:rPr>
        <w:t>国家工商行政管理总局</w:t>
      </w:r>
    </w:p>
    <w:p w14:paraId="2A0D76F8">
      <w:pPr>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olor w:val="000000" w:themeColor="text1"/>
          <w:szCs w:val="21"/>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第一部分  合同协议书</w:t>
      </w:r>
    </w:p>
    <w:p w14:paraId="73B18C58">
      <w:pPr>
        <w:widowControl/>
        <w:spacing w:line="360" w:lineRule="exact"/>
        <w:ind w:firstLine="420" w:firstLineChars="200"/>
        <w:jc w:val="left"/>
        <w:rPr>
          <w:rFonts w:ascii="宋体" w:hAnsi="宋体" w:eastAsia="宋体" w:cs="宋体"/>
          <w:color w:val="000000" w:themeColor="text1"/>
          <w:kern w:val="0"/>
          <w:szCs w:val="21"/>
          <w14:textFill>
            <w14:solidFill>
              <w14:schemeClr w14:val="tx1"/>
            </w14:solidFill>
          </w14:textFill>
        </w:rPr>
      </w:pPr>
    </w:p>
    <w:p w14:paraId="1CC56A6C">
      <w:pPr>
        <w:spacing w:line="360" w:lineRule="auto"/>
        <w:rPr>
          <w:rFonts w:ascii="宋体" w:hAnsi="宋体" w:eastAsia="宋体"/>
          <w:b/>
          <w:color w:val="000000" w:themeColor="text1"/>
          <w:szCs w:val="21"/>
          <w:u w:val="single"/>
          <w14:textFill>
            <w14:solidFill>
              <w14:schemeClr w14:val="tx1"/>
            </w14:solidFill>
          </w14:textFill>
        </w:rPr>
      </w:pPr>
      <w:r>
        <w:rPr>
          <w:rFonts w:ascii="宋体" w:hAnsi="宋体" w:eastAsia="宋体"/>
          <w:b/>
          <w:color w:val="000000" w:themeColor="text1"/>
          <w:szCs w:val="21"/>
          <w14:textFill>
            <w14:solidFill>
              <w14:schemeClr w14:val="tx1"/>
            </w14:solidFill>
          </w14:textFill>
        </w:rPr>
        <w:t>发包人（全称）：</w:t>
      </w:r>
      <w:r>
        <w:rPr>
          <w:rFonts w:hint="eastAsia" w:ascii="宋体" w:hAnsi="宋体" w:eastAsia="宋体" w:cs="MingLiU_HKSCS"/>
          <w:b/>
          <w:color w:val="000000" w:themeColor="text1"/>
          <w:szCs w:val="21"/>
          <w:u w:val="single"/>
          <w14:textFill>
            <w14:solidFill>
              <w14:schemeClr w14:val="tx1"/>
            </w14:solidFill>
          </w14:textFill>
        </w:rPr>
        <w:t xml:space="preserve">                         </w:t>
      </w:r>
    </w:p>
    <w:p w14:paraId="47673516">
      <w:pPr>
        <w:spacing w:line="360" w:lineRule="auto"/>
        <w:rPr>
          <w:rFonts w:ascii="宋体" w:hAnsi="宋体" w:eastAsia="宋体"/>
          <w:b/>
          <w:color w:val="000000" w:themeColor="text1"/>
          <w:szCs w:val="21"/>
          <w:u w:val="single"/>
          <w14:textFill>
            <w14:solidFill>
              <w14:schemeClr w14:val="tx1"/>
            </w14:solidFill>
          </w14:textFill>
        </w:rPr>
      </w:pPr>
      <w:r>
        <w:rPr>
          <w:rFonts w:ascii="宋体" w:hAnsi="宋体" w:eastAsia="宋体"/>
          <w:b/>
          <w:color w:val="000000" w:themeColor="text1"/>
          <w:szCs w:val="21"/>
          <w14:textFill>
            <w14:solidFill>
              <w14:schemeClr w14:val="tx1"/>
            </w14:solidFill>
          </w14:textFill>
        </w:rPr>
        <w:t>承包人（全称）：</w:t>
      </w:r>
      <w:r>
        <w:rPr>
          <w:rFonts w:hint="eastAsia" w:ascii="宋体" w:hAnsi="宋体" w:eastAsia="宋体" w:cs="MingLiU_HKSCS"/>
          <w:b/>
          <w:color w:val="000000" w:themeColor="text1"/>
          <w:szCs w:val="21"/>
          <w:u w:val="single"/>
          <w14:textFill>
            <w14:solidFill>
              <w14:schemeClr w14:val="tx1"/>
            </w14:solidFill>
          </w14:textFill>
        </w:rPr>
        <w:t xml:space="preserve">                          </w:t>
      </w:r>
    </w:p>
    <w:p w14:paraId="233623A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根据《</w:t>
      </w:r>
      <w:r>
        <w:rPr>
          <w:rFonts w:hint="eastAsia" w:ascii="宋体" w:hAnsi="宋体" w:eastAsia="宋体"/>
          <w:color w:val="000000" w:themeColor="text1"/>
          <w:szCs w:val="21"/>
          <w14:textFill>
            <w14:solidFill>
              <w14:schemeClr w14:val="tx1"/>
            </w14:solidFill>
          </w14:textFill>
        </w:rPr>
        <w:t>中华人民共和国民法典</w:t>
      </w:r>
      <w:r>
        <w:rPr>
          <w:rFonts w:ascii="宋体" w:hAnsi="宋体" w:eastAsia="宋体"/>
          <w:color w:val="000000" w:themeColor="text1"/>
          <w:szCs w:val="21"/>
          <w14:textFill>
            <w14:solidFill>
              <w14:schemeClr w14:val="tx1"/>
            </w14:solidFill>
          </w14:textFill>
        </w:rPr>
        <w:t>》、《中华人民共和国建筑法》及有关法律规定，遵循平等、自愿、公平和诚实信用的原则，双方就</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施工及有关事项协商一致</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共同达成如下协议：</w:t>
      </w:r>
    </w:p>
    <w:p w14:paraId="2154B2C1">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0" w:name="_Toc351203481"/>
      <w:r>
        <w:rPr>
          <w:rFonts w:ascii="宋体" w:hAnsi="宋体"/>
          <w:color w:val="000000" w:themeColor="text1"/>
          <w:szCs w:val="21"/>
          <w14:textFill>
            <w14:solidFill>
              <w14:schemeClr w14:val="tx1"/>
            </w14:solidFill>
          </w14:textFill>
        </w:rPr>
        <w:t>一、工程概况</w:t>
      </w:r>
      <w:bookmarkEnd w:id="0"/>
    </w:p>
    <w:p w14:paraId="02E9C10B">
      <w:pPr>
        <w:spacing w:line="360" w:lineRule="auto"/>
        <w:ind w:firstLine="411" w:firstLineChars="196"/>
        <w:rPr>
          <w:rFonts w:ascii="宋体" w:hAnsi="宋体" w:eastAsia="宋体"/>
          <w:color w:val="000000" w:themeColor="text1"/>
          <w:sz w:val="16"/>
          <w:szCs w:val="21"/>
          <w:u w:val="single"/>
          <w14:textFill>
            <w14:solidFill>
              <w14:schemeClr w14:val="tx1"/>
            </w14:solidFill>
          </w14:textFill>
        </w:rPr>
      </w:pPr>
      <w:r>
        <w:rPr>
          <w:rFonts w:ascii="宋体" w:hAnsi="宋体" w:eastAsia="宋体"/>
          <w:bCs/>
          <w:color w:val="000000" w:themeColor="text1"/>
          <w:szCs w:val="21"/>
          <w14:textFill>
            <w14:solidFill>
              <w14:schemeClr w14:val="tx1"/>
            </w14:solidFill>
          </w14:textFill>
        </w:rPr>
        <w:t>1.工程名称</w:t>
      </w:r>
      <w:r>
        <w:rPr>
          <w:rFonts w:ascii="宋体" w:hAnsi="宋体" w:eastAsia="宋体"/>
          <w:color w:val="000000" w:themeColor="text1"/>
          <w:szCs w:val="21"/>
          <w14:textFill>
            <w14:solidFill>
              <w14:schemeClr w14:val="tx1"/>
            </w14:solidFill>
          </w14:textFill>
        </w:rPr>
        <w:t>：</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olor w:val="000000" w:themeColor="text1"/>
          <w:kern w:val="0"/>
          <w:sz w:val="20"/>
          <w:u w:val="single"/>
          <w14:textFill>
            <w14:solidFill>
              <w14:schemeClr w14:val="tx1"/>
            </w14:solidFill>
          </w14:textFill>
        </w:rPr>
        <w:t xml:space="preserve">  </w:t>
      </w:r>
    </w:p>
    <w:p w14:paraId="1DE42E34">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2.工程地点：</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olor w:val="000000" w:themeColor="text1"/>
          <w:kern w:val="0"/>
          <w:sz w:val="20"/>
          <w:u w:val="single"/>
          <w14:textFill>
            <w14:solidFill>
              <w14:schemeClr w14:val="tx1"/>
            </w14:solidFill>
          </w14:textFill>
        </w:rPr>
        <w:t xml:space="preserve">                                 </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7FEB8FF">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3.工程立项批准文号：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7E42FD77">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4.资金来源：</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lang w:val="en-US" w:eastAsia="zh-CN"/>
          <w14:textFill>
            <w14:solidFill>
              <w14:schemeClr w14:val="tx1"/>
            </w14:solidFill>
          </w14:textFill>
        </w:rPr>
        <w:t xml:space="preserve">       </w:t>
      </w:r>
      <w:bookmarkStart w:id="586" w:name="_GoBack"/>
      <w:bookmarkEnd w:id="586"/>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440FD4E7">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5.工程内容：</w:t>
      </w:r>
      <w:r>
        <w:rPr>
          <w:rFonts w:hint="eastAsia" w:ascii="宋体" w:hAnsi="宋体" w:eastAsia="宋体" w:cs="MingLiU_HKSCS"/>
          <w:color w:val="000000" w:themeColor="text1"/>
          <w:szCs w:val="21"/>
          <w:u w:val="single"/>
          <w14:textFill>
            <w14:solidFill>
              <w14:schemeClr w14:val="tx1"/>
            </w14:solidFill>
          </w14:textFill>
        </w:rPr>
        <w:t xml:space="preserve">   详见</w:t>
      </w:r>
      <w:r>
        <w:rPr>
          <w:rFonts w:hint="eastAsia" w:ascii="宋体" w:hAnsi="宋体" w:eastAsia="宋体" w:cs="MingLiU_HKSCS"/>
          <w:color w:val="000000" w:themeColor="text1"/>
          <w:szCs w:val="21"/>
          <w:u w:val="single"/>
          <w:lang w:val="en-US" w:eastAsia="zh-CN"/>
          <w14:textFill>
            <w14:solidFill>
              <w14:schemeClr w14:val="tx1"/>
            </w14:solidFill>
          </w14:textFill>
        </w:rPr>
        <w:t>图纸、</w:t>
      </w:r>
      <w:r>
        <w:rPr>
          <w:rFonts w:hint="eastAsia" w:ascii="宋体" w:hAnsi="宋体" w:eastAsia="宋体" w:cs="MingLiU_HKSCS"/>
          <w:color w:val="000000" w:themeColor="text1"/>
          <w:szCs w:val="21"/>
          <w:u w:val="single"/>
          <w14:textFill>
            <w14:solidFill>
              <w14:schemeClr w14:val="tx1"/>
            </w14:solidFill>
          </w14:textFill>
        </w:rPr>
        <w:t xml:space="preserve">工程量清单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5B3C808F">
      <w:pPr>
        <w:spacing w:line="360" w:lineRule="auto"/>
        <w:ind w:firstLine="411" w:firstLineChars="196"/>
        <w:rPr>
          <w:rFonts w:ascii="宋体" w:hAnsi="宋体" w:eastAsia="宋体"/>
          <w:bCs/>
          <w:color w:val="000000" w:themeColor="text1"/>
          <w:szCs w:val="21"/>
          <w:u w:val="single"/>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6</w:t>
      </w:r>
      <w:r>
        <w:rPr>
          <w:rFonts w:ascii="宋体" w:hAnsi="宋体" w:eastAsia="宋体"/>
          <w:bCs/>
          <w:color w:val="000000" w:themeColor="text1"/>
          <w:szCs w:val="21"/>
          <w14:textFill>
            <w14:solidFill>
              <w14:schemeClr w14:val="tx1"/>
            </w14:solidFill>
          </w14:textFill>
        </w:rPr>
        <w:t>.工程承包范围：</w:t>
      </w:r>
      <w:r>
        <w:rPr>
          <w:rFonts w:hint="eastAsia" w:ascii="宋体" w:hAnsi="宋体" w:eastAsia="宋体"/>
          <w:bCs/>
          <w:color w:val="000000" w:themeColor="text1"/>
          <w:szCs w:val="21"/>
          <w:u w:val="single"/>
          <w:lang w:val="en-US" w:eastAsia="zh-CN"/>
          <w14:textFill>
            <w14:solidFill>
              <w14:schemeClr w14:val="tx1"/>
            </w14:solidFill>
          </w14:textFill>
        </w:rPr>
        <w:t>图纸、</w:t>
      </w:r>
      <w:r>
        <w:rPr>
          <w:rFonts w:hint="eastAsia" w:ascii="宋体" w:hAnsi="宋体" w:eastAsia="宋体"/>
          <w:bCs/>
          <w:color w:val="000000" w:themeColor="text1"/>
          <w:szCs w:val="21"/>
          <w:u w:val="single"/>
          <w14:textFill>
            <w14:solidFill>
              <w14:schemeClr w14:val="tx1"/>
            </w14:solidFill>
          </w14:textFill>
        </w:rPr>
        <w:t>工程量清单、答疑以及本招标文件规定的全部内容。文字与清单不符时，以清单为准。</w:t>
      </w:r>
    </w:p>
    <w:p w14:paraId="3004DEFE">
      <w:pPr>
        <w:spacing w:line="360" w:lineRule="auto"/>
        <w:ind w:firstLine="413" w:firstLineChars="196"/>
        <w:rPr>
          <w:rFonts w:ascii="宋体" w:hAnsi="宋体" w:eastAsia="宋体"/>
          <w:b/>
          <w:color w:val="000000" w:themeColor="text1"/>
          <w:szCs w:val="21"/>
          <w14:textFill>
            <w14:solidFill>
              <w14:schemeClr w14:val="tx1"/>
            </w14:solidFill>
          </w14:textFill>
        </w:rPr>
      </w:pPr>
      <w:bookmarkStart w:id="1" w:name="_Toc351203482"/>
      <w:r>
        <w:rPr>
          <w:rFonts w:ascii="宋体" w:hAnsi="宋体" w:eastAsia="宋体"/>
          <w:b/>
          <w:color w:val="000000" w:themeColor="text1"/>
          <w:szCs w:val="21"/>
          <w14:textFill>
            <w14:solidFill>
              <w14:schemeClr w14:val="tx1"/>
            </w14:solidFill>
          </w14:textFill>
        </w:rPr>
        <w:t>二、合同工期</w:t>
      </w:r>
      <w:bookmarkEnd w:id="1"/>
    </w:p>
    <w:p w14:paraId="7F7901D7">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计划开工日期：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月</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日。</w:t>
      </w:r>
    </w:p>
    <w:p w14:paraId="6EE1FB5B">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计划竣工日期：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月</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日。</w:t>
      </w:r>
    </w:p>
    <w:p w14:paraId="4E869FAA">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工期总日历天数：</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天。工期总日历天数与根据前述计划开竣工日期计算的工期天数不一致的，以工期总日历天数为准。</w:t>
      </w:r>
    </w:p>
    <w:p w14:paraId="585CFCDE">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bookmarkStart w:id="2" w:name="_Toc351203483"/>
      <w:r>
        <w:rPr>
          <w:rFonts w:ascii="宋体" w:hAnsi="宋体"/>
          <w:color w:val="000000" w:themeColor="text1"/>
          <w:szCs w:val="21"/>
          <w14:textFill>
            <w14:solidFill>
              <w14:schemeClr w14:val="tx1"/>
            </w14:solidFill>
          </w14:textFill>
        </w:rPr>
        <w:t>三、质量标准</w:t>
      </w:r>
      <w:bookmarkEnd w:id="2"/>
    </w:p>
    <w:p w14:paraId="01D26EA5">
      <w:pPr>
        <w:spacing w:line="360" w:lineRule="auto"/>
        <w:ind w:firstLine="459"/>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工程质量符合</w:t>
      </w:r>
      <w:r>
        <w:rPr>
          <w:rFonts w:hint="eastAsia" w:ascii="宋体" w:hAnsi="宋体" w:eastAsia="宋体"/>
          <w:color w:val="000000" w:themeColor="text1"/>
          <w:szCs w:val="21"/>
          <w14:textFill>
            <w14:solidFill>
              <w14:schemeClr w14:val="tx1"/>
            </w14:solidFill>
          </w14:textFill>
        </w:rPr>
        <w:t>：达到国家现行施工验收规范“合格”</w:t>
      </w:r>
      <w:r>
        <w:rPr>
          <w:rFonts w:ascii="宋体" w:hAnsi="宋体" w:eastAsia="宋体"/>
          <w:color w:val="000000" w:themeColor="text1"/>
          <w:szCs w:val="21"/>
          <w14:textFill>
            <w14:solidFill>
              <w14:schemeClr w14:val="tx1"/>
            </w14:solidFill>
          </w14:textFill>
        </w:rPr>
        <w:t>标准。</w:t>
      </w:r>
    </w:p>
    <w:p w14:paraId="0D4AFFC7">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3" w:name="_Toc351203484"/>
      <w:r>
        <w:rPr>
          <w:rFonts w:ascii="宋体" w:hAnsi="宋体"/>
          <w:color w:val="000000" w:themeColor="text1"/>
          <w:szCs w:val="21"/>
          <w14:textFill>
            <w14:solidFill>
              <w14:schemeClr w14:val="tx1"/>
            </w14:solidFill>
          </w14:textFill>
        </w:rPr>
        <w:t>四、签约合同价与合同价格形式</w:t>
      </w:r>
      <w:bookmarkEnd w:id="3"/>
      <w:r>
        <w:rPr>
          <w:rFonts w:ascii="宋体" w:hAnsi="宋体"/>
          <w:color w:val="000000" w:themeColor="text1"/>
          <w:szCs w:val="21"/>
          <w14:textFill>
            <w14:solidFill>
              <w14:schemeClr w14:val="tx1"/>
            </w14:solidFill>
          </w14:textFill>
        </w:rPr>
        <w:tab/>
      </w:r>
    </w:p>
    <w:p w14:paraId="4C4FFA50">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1.签约合同价为：</w:t>
      </w:r>
    </w:p>
    <w:p w14:paraId="43BD3C77">
      <w:pPr>
        <w:spacing w:line="360" w:lineRule="auto"/>
        <w:ind w:firstLine="525" w:firstLineChars="2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02E3CE1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其中：</w:t>
      </w:r>
      <w:r>
        <w:rPr>
          <w:rFonts w:hint="eastAsia" w:ascii="宋体" w:hAnsi="宋体" w:eastAsia="宋体"/>
          <w:color w:val="000000" w:themeColor="text1"/>
          <w:szCs w:val="21"/>
          <w14:textFill>
            <w14:solidFill>
              <w14:schemeClr w14:val="tx1"/>
            </w14:solidFill>
          </w14:textFill>
        </w:rPr>
        <w:t xml:space="preserve">   </w:t>
      </w:r>
    </w:p>
    <w:p w14:paraId="63677BE9">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（1）安全文明施工费：</w:t>
      </w:r>
    </w:p>
    <w:p w14:paraId="09DC7A41">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286E7D63">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（2）材料和工程设备暂估价金额：</w:t>
      </w:r>
    </w:p>
    <w:p w14:paraId="64752085">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02047FCD">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（3）专业工程暂估价金额：</w:t>
      </w:r>
    </w:p>
    <w:p w14:paraId="3CEC3E65">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68A05E56">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（4）暂列金额：</w:t>
      </w:r>
    </w:p>
    <w:p w14:paraId="2352DAFA">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7FF4C893">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2.合同价格形式：</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lang w:val="en-US" w:eastAsia="zh-CN"/>
          <w14:textFill>
            <w14:solidFill>
              <w14:schemeClr w14:val="tx1"/>
            </w14:solidFill>
          </w14:textFill>
        </w:rPr>
        <w:t>固定总价</w:t>
      </w:r>
      <w:r>
        <w:rPr>
          <w:rFonts w:hint="eastAsia" w:ascii="宋体" w:hAnsi="宋体" w:eastAsia="宋体" w:cs="MingLiU_HKSCS"/>
          <w:color w:val="000000" w:themeColor="text1"/>
          <w:szCs w:val="21"/>
          <w:u w:val="single"/>
          <w14:textFill>
            <w14:solidFill>
              <w14:schemeClr w14:val="tx1"/>
            </w14:solidFill>
          </w14:textFill>
        </w:rPr>
        <w:t>合同</w:t>
      </w:r>
      <w:r>
        <w:rPr>
          <w:rFonts w:hint="eastAsia" w:ascii="宋体" w:hAnsi="宋体" w:eastAsia="宋体" w:cs="MingLiU_HKSCS"/>
          <w:color w:val="000000" w:themeColor="text1"/>
          <w:szCs w:val="21"/>
          <w:u w:val="single"/>
          <w:lang w:eastAsia="zh-CN"/>
          <w14:textFill>
            <w14:solidFill>
              <w14:schemeClr w14:val="tx1"/>
            </w14:solidFill>
          </w14:textFill>
        </w:rPr>
        <w:t>（</w:t>
      </w:r>
      <w:r>
        <w:rPr>
          <w:rFonts w:hint="eastAsia" w:ascii="宋体" w:hAnsi="宋体" w:eastAsia="宋体" w:cs="MingLiU_HKSCS"/>
          <w:color w:val="000000" w:themeColor="text1"/>
          <w:szCs w:val="21"/>
          <w:u w:val="single"/>
          <w:lang w:val="en-US" w:eastAsia="zh-CN"/>
          <w14:textFill>
            <w14:solidFill>
              <w14:schemeClr w14:val="tx1"/>
            </w14:solidFill>
          </w14:textFill>
        </w:rPr>
        <w:t>专用条款中和此项有不一致的以此为准</w:t>
      </w:r>
      <w:r>
        <w:rPr>
          <w:rFonts w:hint="eastAsia" w:ascii="宋体" w:hAnsi="宋体" w:eastAsia="宋体" w:cs="MingLiU_HKSCS"/>
          <w:color w:val="000000" w:themeColor="text1"/>
          <w:szCs w:val="21"/>
          <w:u w:val="single"/>
          <w:lang w:eastAsia="zh-CN"/>
          <w14:textFill>
            <w14:solidFill>
              <w14:schemeClr w14:val="tx1"/>
            </w14:solidFill>
          </w14:textFill>
        </w:rPr>
        <w:t>）</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E9120A3">
      <w:pPr>
        <w:pStyle w:val="7"/>
        <w:rPr>
          <w:rFonts w:ascii="宋体" w:hAnsi="宋体"/>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4" w:name="_Toc351203485"/>
      <w:r>
        <w:rPr>
          <w:rFonts w:ascii="宋体" w:hAnsi="宋体"/>
          <w:color w:val="000000" w:themeColor="text1"/>
          <w:szCs w:val="21"/>
          <w14:textFill>
            <w14:solidFill>
              <w14:schemeClr w14:val="tx1"/>
            </w14:solidFill>
          </w14:textFill>
        </w:rPr>
        <w:t>五、</w:t>
      </w:r>
      <w:bookmarkEnd w:id="4"/>
      <w:r>
        <w:rPr>
          <w:rFonts w:ascii="宋体" w:hAnsi="宋体"/>
          <w:color w:val="000000" w:themeColor="text1"/>
          <w:szCs w:val="21"/>
          <w14:textFill>
            <w14:solidFill>
              <w14:schemeClr w14:val="tx1"/>
            </w14:solidFill>
          </w14:textFill>
        </w:rPr>
        <w:t>项目经理</w:t>
      </w:r>
    </w:p>
    <w:p w14:paraId="42DADA5F">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承包人项目经理：</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211DA2E">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5" w:name="_Toc351203486"/>
      <w:r>
        <w:rPr>
          <w:rFonts w:ascii="宋体" w:hAnsi="宋体"/>
          <w:color w:val="000000" w:themeColor="text1"/>
          <w:szCs w:val="21"/>
          <w14:textFill>
            <w14:solidFill>
              <w14:schemeClr w14:val="tx1"/>
            </w14:solidFill>
          </w14:textFill>
        </w:rPr>
        <w:t>六、合同文件构成</w:t>
      </w:r>
      <w:bookmarkEnd w:id="5"/>
    </w:p>
    <w:p w14:paraId="2BD53B3A">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本协议书与下列文件一起构成合同文件：</w:t>
      </w:r>
    </w:p>
    <w:p w14:paraId="25346073">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（1）中标通知书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D38FFF">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（2）投标函及其附录</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59CDD4A9">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（3）专用合同条款及其附件；</w:t>
      </w:r>
    </w:p>
    <w:p w14:paraId="7C0A18F0">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（4）通用合同条款；</w:t>
      </w:r>
    </w:p>
    <w:p w14:paraId="451E306C">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（5）技术标准和要求；</w:t>
      </w:r>
    </w:p>
    <w:p w14:paraId="727820B5">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（6）图纸；</w:t>
      </w:r>
    </w:p>
    <w:p w14:paraId="76E507EB">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（7）已标价工程量清单或预算书；</w:t>
      </w:r>
    </w:p>
    <w:p w14:paraId="0A2E59BE">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（8）其他合同文件。</w:t>
      </w:r>
    </w:p>
    <w:p w14:paraId="4B9EE8E1">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在合同订立及履行过程中形成的与合同有关的文件均构成合同文件组成部分。</w:t>
      </w:r>
    </w:p>
    <w:p w14:paraId="71818713">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上述各项合同文件包括合同当事人就该项合同文件所作出的补充和修改，属于同一类内容的文件，应以最新签署的为准。</w:t>
      </w:r>
      <w:r>
        <w:rPr>
          <w:rFonts w:hint="eastAsia" w:ascii="宋体" w:hAnsi="宋体" w:eastAsia="宋体"/>
          <w:color w:val="000000" w:themeColor="text1"/>
          <w:szCs w:val="21"/>
          <w14:textFill>
            <w14:solidFill>
              <w14:schemeClr w14:val="tx1"/>
            </w14:solidFill>
          </w14:textFill>
        </w:rPr>
        <w:t>专用合同条款及其附件须经合同当事人签字或盖章。</w:t>
      </w:r>
    </w:p>
    <w:p w14:paraId="7ECF01C2">
      <w:pPr>
        <w:pStyle w:val="7"/>
        <w:rPr>
          <w:rFonts w:ascii="宋体" w:hAnsi="宋体"/>
          <w:bCs w:val="0"/>
          <w:color w:val="000000" w:themeColor="text1"/>
          <w:szCs w:val="21"/>
          <w14:textFill>
            <w14:solidFill>
              <w14:schemeClr w14:val="tx1"/>
            </w14:solidFill>
          </w14:textFill>
        </w:rPr>
      </w:pPr>
      <w:r>
        <w:rPr>
          <w:rFonts w:ascii="宋体" w:hAnsi="宋体"/>
          <w:b w:val="0"/>
          <w:bCs w:val="0"/>
          <w:color w:val="000000" w:themeColor="text1"/>
          <w:szCs w:val="21"/>
          <w14:textFill>
            <w14:solidFill>
              <w14:schemeClr w14:val="tx1"/>
            </w14:solidFill>
          </w14:textFill>
        </w:rPr>
        <w:t xml:space="preserve">  </w:t>
      </w: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6" w:name="_Toc351203487"/>
      <w:r>
        <w:rPr>
          <w:rFonts w:ascii="宋体" w:hAnsi="宋体"/>
          <w:color w:val="000000" w:themeColor="text1"/>
          <w:szCs w:val="21"/>
          <w14:textFill>
            <w14:solidFill>
              <w14:schemeClr w14:val="tx1"/>
            </w14:solidFill>
          </w14:textFill>
        </w:rPr>
        <w:t>七、承诺</w:t>
      </w:r>
      <w:bookmarkEnd w:id="6"/>
    </w:p>
    <w:p w14:paraId="028814D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1.发包人承诺按照法律规定履行项目审批手续、筹集工程建设资金并按照合同约定的期限和方式支付合同价款。</w:t>
      </w:r>
    </w:p>
    <w:p w14:paraId="5B14FF4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2.承包人承诺按照法律规定及合同约定组织完成工程施工，确保工程质量和安全，不进行转包及违法分包，并在缺陷责任期及保修期内承担相应的工程维修责任。</w:t>
      </w:r>
    </w:p>
    <w:p w14:paraId="1204A7A6">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3.发包人和承包人通过招投标形式签订合同的，双方理解并</w:t>
      </w:r>
      <w:r>
        <w:rPr>
          <w:rFonts w:hint="eastAsia" w:ascii="宋体" w:hAnsi="宋体" w:eastAsia="宋体"/>
          <w:bCs/>
          <w:color w:val="000000" w:themeColor="text1"/>
          <w:szCs w:val="21"/>
          <w14:textFill>
            <w14:solidFill>
              <w14:schemeClr w14:val="tx1"/>
            </w14:solidFill>
          </w14:textFill>
        </w:rPr>
        <w:t>承诺</w:t>
      </w:r>
      <w:r>
        <w:rPr>
          <w:rFonts w:ascii="宋体" w:hAnsi="宋体" w:eastAsia="宋体"/>
          <w:bCs/>
          <w:color w:val="000000" w:themeColor="text1"/>
          <w:szCs w:val="21"/>
          <w14:textFill>
            <w14:solidFill>
              <w14:schemeClr w14:val="tx1"/>
            </w14:solidFill>
          </w14:textFill>
        </w:rPr>
        <w:t>不再就同一工程另行签订与合同实质性内容相背离的协议。</w:t>
      </w:r>
    </w:p>
    <w:p w14:paraId="11DAD578">
      <w:pPr>
        <w:spacing w:line="360" w:lineRule="auto"/>
        <w:rPr>
          <w:rFonts w:ascii="宋体" w:hAnsi="宋体" w:eastAsia="宋体"/>
          <w:bCs/>
          <w:color w:val="000000" w:themeColor="text1"/>
          <w:szCs w:val="21"/>
          <w14:textFill>
            <w14:solidFill>
              <w14:schemeClr w14:val="tx1"/>
            </w14:solidFill>
          </w14:textFill>
        </w:rPr>
      </w:pPr>
      <w:bookmarkStart w:id="7" w:name="_Toc351203488"/>
      <w:r>
        <w:rPr>
          <w:rFonts w:hint="eastAsia" w:ascii="宋体" w:hAnsi="宋体" w:eastAsia="宋体"/>
          <w:b/>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八、词语含义</w:t>
      </w:r>
      <w:bookmarkEnd w:id="7"/>
    </w:p>
    <w:p w14:paraId="606D122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本协议书中词语含义与第二部分通用合同条款中赋予的含义相同。</w:t>
      </w:r>
    </w:p>
    <w:p w14:paraId="56E322CD">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 xml:space="preserve">  </w:t>
      </w:r>
      <w:bookmarkStart w:id="8" w:name="_Toc351203489"/>
      <w:r>
        <w:rPr>
          <w:rFonts w:ascii="宋体" w:hAnsi="宋体" w:eastAsia="宋体"/>
          <w:b/>
          <w:color w:val="000000" w:themeColor="text1"/>
          <w:szCs w:val="21"/>
          <w14:textFill>
            <w14:solidFill>
              <w14:schemeClr w14:val="tx1"/>
            </w14:solidFill>
          </w14:textFill>
        </w:rPr>
        <w:t>九、签订时间</w:t>
      </w:r>
      <w:bookmarkEnd w:id="8"/>
    </w:p>
    <w:p w14:paraId="2D524515">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本合同于</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年</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月</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日签订。</w:t>
      </w:r>
    </w:p>
    <w:p w14:paraId="20CDF5EA">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9" w:name="_Toc351203490"/>
      <w:r>
        <w:rPr>
          <w:rFonts w:ascii="宋体" w:hAnsi="宋体" w:eastAsia="宋体"/>
          <w:b/>
          <w:color w:val="000000" w:themeColor="text1"/>
          <w:szCs w:val="21"/>
          <w14:textFill>
            <w14:solidFill>
              <w14:schemeClr w14:val="tx1"/>
            </w14:solidFill>
          </w14:textFill>
        </w:rPr>
        <w:t>十、签订地点</w:t>
      </w:r>
      <w:bookmarkEnd w:id="9"/>
    </w:p>
    <w:p w14:paraId="3DDFD4A7">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本合同在</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签订。</w:t>
      </w:r>
    </w:p>
    <w:p w14:paraId="29F64A11">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10" w:name="_Toc351203491"/>
      <w:r>
        <w:rPr>
          <w:rFonts w:ascii="宋体" w:hAnsi="宋体" w:eastAsia="宋体"/>
          <w:b/>
          <w:color w:val="000000" w:themeColor="text1"/>
          <w:szCs w:val="21"/>
          <w14:textFill>
            <w14:solidFill>
              <w14:schemeClr w14:val="tx1"/>
            </w14:solidFill>
          </w14:textFill>
        </w:rPr>
        <w:t>十一、补充协议</w:t>
      </w:r>
      <w:bookmarkEnd w:id="10"/>
    </w:p>
    <w:p w14:paraId="6814E2E4">
      <w:pPr>
        <w:spacing w:line="360" w:lineRule="auto"/>
        <w:ind w:firstLine="420" w:firstLineChars="200"/>
        <w:rPr>
          <w:rFonts w:ascii="宋体" w:hAnsi="宋体" w:eastAsia="宋体"/>
          <w:b/>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合同未尽事宜，合同当事人另行签订补充协议</w:t>
      </w:r>
      <w:r>
        <w:rPr>
          <w:rFonts w:hint="eastAsia" w:ascii="宋体" w:hAnsi="宋体" w:eastAsia="宋体"/>
          <w:bCs/>
          <w:color w:val="000000" w:themeColor="text1"/>
          <w:szCs w:val="21"/>
          <w14:textFill>
            <w14:solidFill>
              <w14:schemeClr w14:val="tx1"/>
            </w14:solidFill>
          </w14:textFill>
        </w:rPr>
        <w:t>，</w:t>
      </w:r>
      <w:r>
        <w:rPr>
          <w:rFonts w:ascii="宋体" w:hAnsi="宋体" w:eastAsia="宋体"/>
          <w:bCs/>
          <w:color w:val="000000" w:themeColor="text1"/>
          <w:szCs w:val="21"/>
          <w14:textFill>
            <w14:solidFill>
              <w14:schemeClr w14:val="tx1"/>
            </w14:solidFill>
          </w14:textFill>
        </w:rPr>
        <w:t>补充协议是合同的组成部分。</w:t>
      </w:r>
    </w:p>
    <w:p w14:paraId="2450950B">
      <w:pPr>
        <w:spacing w:line="360" w:lineRule="auto"/>
        <w:rPr>
          <w:rFonts w:ascii="宋体" w:hAnsi="宋体" w:eastAsia="宋体"/>
          <w:b/>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11" w:name="_Toc351203492"/>
      <w:r>
        <w:rPr>
          <w:rFonts w:ascii="宋体" w:hAnsi="宋体" w:eastAsia="宋体"/>
          <w:b/>
          <w:color w:val="000000" w:themeColor="text1"/>
          <w:szCs w:val="21"/>
          <w14:textFill>
            <w14:solidFill>
              <w14:schemeClr w14:val="tx1"/>
            </w14:solidFill>
          </w14:textFill>
        </w:rPr>
        <w:t>十二、合同生效</w:t>
      </w:r>
      <w:bookmarkEnd w:id="11"/>
    </w:p>
    <w:p w14:paraId="2F8D3EF5">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本合同自</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双方签字盖章后</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生效。</w:t>
      </w:r>
    </w:p>
    <w:p w14:paraId="00F915A3">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 xml:space="preserve">  </w:t>
      </w:r>
      <w:bookmarkStart w:id="12" w:name="_Toc351203493"/>
      <w:r>
        <w:rPr>
          <w:rFonts w:ascii="宋体" w:hAnsi="宋体" w:eastAsia="宋体"/>
          <w:b/>
          <w:color w:val="000000" w:themeColor="text1"/>
          <w:szCs w:val="21"/>
          <w14:textFill>
            <w14:solidFill>
              <w14:schemeClr w14:val="tx1"/>
            </w14:solidFill>
          </w14:textFill>
        </w:rPr>
        <w:t>十三、合同份数</w:t>
      </w:r>
      <w:bookmarkEnd w:id="12"/>
    </w:p>
    <w:p w14:paraId="044AAF8A">
      <w:pPr>
        <w:spacing w:line="360" w:lineRule="auto"/>
        <w:ind w:left="210" w:leftChars="100" w:firstLine="210" w:firstLineChars="1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本合同一式</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份，均具有同等法律效力，发包人执</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份，承包人执</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w:t>
      </w:r>
      <w:r>
        <w:rPr>
          <w:rFonts w:hint="eastAsia" w:ascii="宋体" w:hAnsi="宋体" w:eastAsia="宋体"/>
          <w:bCs/>
          <w:color w:val="000000" w:themeColor="text1"/>
          <w:szCs w:val="21"/>
          <w14:textFill>
            <w14:solidFill>
              <w14:schemeClr w14:val="tx1"/>
            </w14:solidFill>
          </w14:textFill>
        </w:rPr>
        <w:t>。</w:t>
      </w:r>
    </w:p>
    <w:p w14:paraId="7CF66B90">
      <w:pPr>
        <w:spacing w:line="360" w:lineRule="auto"/>
        <w:ind w:firstLine="315" w:firstLineChars="150"/>
        <w:rPr>
          <w:rFonts w:ascii="宋体" w:hAnsi="宋体" w:eastAsia="宋体"/>
          <w:color w:val="000000" w:themeColor="text1"/>
          <w:szCs w:val="21"/>
          <w14:textFill>
            <w14:solidFill>
              <w14:schemeClr w14:val="tx1"/>
            </w14:solidFill>
          </w14:textFill>
        </w:rPr>
      </w:pPr>
    </w:p>
    <w:p w14:paraId="1295A009">
      <w:pPr>
        <w:spacing w:line="360" w:lineRule="auto"/>
        <w:ind w:firstLine="315" w:firstLineChars="150"/>
        <w:rPr>
          <w:rFonts w:ascii="宋体" w:hAnsi="宋体" w:eastAsia="宋体"/>
          <w:color w:val="000000" w:themeColor="text1"/>
          <w:szCs w:val="21"/>
          <w14:textFill>
            <w14:solidFill>
              <w14:schemeClr w14:val="tx1"/>
            </w14:solidFill>
          </w14:textFill>
        </w:rPr>
      </w:pPr>
    </w:p>
    <w:p w14:paraId="2DEBA642">
      <w:pPr>
        <w:spacing w:line="360" w:lineRule="auto"/>
        <w:ind w:firstLine="315" w:firstLineChars="150"/>
        <w:rPr>
          <w:rFonts w:ascii="宋体" w:hAnsi="宋体" w:eastAsia="宋体"/>
          <w:color w:val="000000" w:themeColor="text1"/>
          <w:szCs w:val="21"/>
          <w14:textFill>
            <w14:solidFill>
              <w14:schemeClr w14:val="tx1"/>
            </w14:solidFill>
          </w14:textFill>
        </w:rPr>
      </w:pPr>
    </w:p>
    <w:p w14:paraId="6C4BA90F">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(公章)</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承包人</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(公章)</w:t>
      </w:r>
      <w:r>
        <w:rPr>
          <w:rFonts w:hint="eastAsia" w:ascii="宋体" w:hAnsi="宋体" w:eastAsia="宋体"/>
          <w:color w:val="000000" w:themeColor="text1"/>
          <w:szCs w:val="21"/>
          <w14:textFill>
            <w14:solidFill>
              <w14:schemeClr w14:val="tx1"/>
            </w14:solidFill>
          </w14:textFill>
        </w:rPr>
        <w:t xml:space="preserve">                                 </w:t>
      </w:r>
    </w:p>
    <w:p w14:paraId="4526C429">
      <w:pPr>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法定代表人或其委托代理人：         法定代表人或其委托代理人：</w:t>
      </w:r>
    </w:p>
    <w:p w14:paraId="6E88E2AA">
      <w:pPr>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（签字）                           （签字）</w:t>
      </w:r>
    </w:p>
    <w:p w14:paraId="6FBECCC4">
      <w:pPr>
        <w:tabs>
          <w:tab w:val="left" w:pos="4410"/>
        </w:tabs>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组织机构代码：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组织机构代码：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18D1B705">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7EBF06C6">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7CA912A4">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法定代表人：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法定代表人：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18A4E0C3">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委托代理人：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委托代理人：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2EEFF973">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791D64B7">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0EA6038E">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59F46342">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03135C3D">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账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p>
    <w:p w14:paraId="6E546DC8">
      <w:pPr>
        <w:spacing w:line="360" w:lineRule="exact"/>
        <w:ind w:firstLine="200"/>
        <w:jc w:val="left"/>
        <w:rPr>
          <w:rFonts w:ascii="宋体" w:hAnsi="宋体" w:eastAsia="宋体"/>
          <w:color w:val="000000" w:themeColor="text1"/>
          <w:szCs w:val="21"/>
          <w14:textFill>
            <w14:solidFill>
              <w14:schemeClr w14:val="tx1"/>
            </w14:solidFill>
          </w14:textFill>
        </w:rPr>
      </w:pPr>
    </w:p>
    <w:p w14:paraId="7DFE3760">
      <w:pPr>
        <w:spacing w:line="360" w:lineRule="exact"/>
        <w:jc w:val="left"/>
        <w:rPr>
          <w:rFonts w:ascii="宋体" w:hAnsi="宋体" w:eastAsia="宋体" w:cs="宋体"/>
          <w:bCs/>
          <w:color w:val="000000" w:themeColor="text1"/>
          <w:kern w:val="0"/>
          <w:sz w:val="36"/>
          <w:szCs w:val="36"/>
          <w14:textFill>
            <w14:solidFill>
              <w14:schemeClr w14:val="tx1"/>
            </w14:solidFill>
          </w14:textFill>
        </w:rPr>
      </w:pPr>
    </w:p>
    <w:p w14:paraId="2D6D5227">
      <w:pPr>
        <w:spacing w:line="480" w:lineRule="auto"/>
        <w:ind w:firstLine="198"/>
        <w:jc w:val="center"/>
        <w:rPr>
          <w:rFonts w:ascii="宋体" w:hAnsi="宋体" w:eastAsia="宋体" w:cs="宋体"/>
          <w:b/>
          <w:bCs/>
          <w:color w:val="000000" w:themeColor="text1"/>
          <w:kern w:val="0"/>
          <w:sz w:val="36"/>
          <w:szCs w:val="36"/>
          <w14:textFill>
            <w14:solidFill>
              <w14:schemeClr w14:val="tx1"/>
            </w14:solidFill>
          </w14:textFill>
        </w:rPr>
      </w:pPr>
      <w:r>
        <w:rPr>
          <w:rFonts w:hint="eastAsia" w:ascii="宋体" w:hAnsi="宋体" w:eastAsia="宋体" w:cs="宋体"/>
          <w:bCs/>
          <w:color w:val="000000" w:themeColor="text1"/>
          <w:kern w:val="0"/>
          <w:sz w:val="36"/>
          <w:szCs w:val="36"/>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第二部分  通用合同条款</w:t>
      </w:r>
    </w:p>
    <w:p w14:paraId="1A5098EC">
      <w:pPr>
        <w:spacing w:line="480" w:lineRule="auto"/>
        <w:ind w:firstLine="198"/>
        <w:jc w:val="center"/>
        <w:rPr>
          <w:rFonts w:ascii="宋体" w:hAnsi="宋体" w:eastAsia="宋体" w:cs="宋体"/>
          <w:bCs/>
          <w:color w:val="000000" w:themeColor="text1"/>
          <w:kern w:val="0"/>
          <w:sz w:val="36"/>
          <w:szCs w:val="36"/>
          <w14:textFill>
            <w14:solidFill>
              <w14:schemeClr w14:val="tx1"/>
            </w14:solidFill>
          </w14:textFill>
        </w:rPr>
      </w:pPr>
    </w:p>
    <w:p w14:paraId="5B15B299">
      <w:pPr>
        <w:spacing w:line="360" w:lineRule="exact"/>
        <w:ind w:firstLine="200"/>
        <w:jc w:val="center"/>
        <w:rPr>
          <w:rFonts w:ascii="宋体" w:hAnsi="宋体" w:eastAsia="宋体" w:cs="宋体"/>
          <w:bCs/>
          <w:color w:val="000000" w:themeColor="text1"/>
          <w:kern w:val="0"/>
          <w:sz w:val="28"/>
          <w:szCs w:val="28"/>
          <w14:textFill>
            <w14:solidFill>
              <w14:schemeClr w14:val="tx1"/>
            </w14:solidFill>
          </w14:textFill>
        </w:rPr>
      </w:pPr>
      <w:r>
        <w:rPr>
          <w:rFonts w:hint="eastAsia" w:ascii="宋体" w:hAnsi="宋体" w:eastAsia="宋体" w:cs="宋体"/>
          <w:bCs/>
          <w:color w:val="000000" w:themeColor="text1"/>
          <w:kern w:val="0"/>
          <w:sz w:val="28"/>
          <w:szCs w:val="28"/>
          <w14:textFill>
            <w14:solidFill>
              <w14:schemeClr w14:val="tx1"/>
            </w14:solidFill>
          </w14:textFill>
        </w:rPr>
        <w:t>按照国家现行通用合同条款执行</w:t>
      </w:r>
    </w:p>
    <w:p w14:paraId="5DD94252">
      <w:pPr>
        <w:spacing w:line="40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59F5DAD5">
      <w:pPr>
        <w:spacing w:line="36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40D973C3">
      <w:pPr>
        <w:spacing w:line="36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741C5E81">
      <w:pPr>
        <w:spacing w:line="480" w:lineRule="auto"/>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s="宋体"/>
          <w:bCs/>
          <w:color w:val="000000" w:themeColor="text1"/>
          <w:kern w:val="0"/>
          <w:sz w:val="36"/>
          <w:szCs w:val="36"/>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第三部分</w:t>
      </w:r>
      <w:r>
        <w:rPr>
          <w:rFonts w:ascii="宋体" w:hAnsi="宋体" w:eastAsia="宋体" w:cs="宋体"/>
          <w:b/>
          <w:bCs/>
          <w:color w:val="000000" w:themeColor="text1"/>
          <w:kern w:val="0"/>
          <w:sz w:val="36"/>
          <w:szCs w:val="36"/>
          <w14:textFill>
            <w14:solidFill>
              <w14:schemeClr w14:val="tx1"/>
            </w14:solidFill>
          </w14:textFill>
        </w:rPr>
        <w:t xml:space="preserve">   </w:t>
      </w:r>
      <w:r>
        <w:rPr>
          <w:rFonts w:hint="eastAsia" w:ascii="宋体" w:hAnsi="宋体" w:eastAsia="宋体" w:cs="宋体"/>
          <w:b/>
          <w:bCs/>
          <w:color w:val="000000" w:themeColor="text1"/>
          <w:kern w:val="0"/>
          <w:sz w:val="36"/>
          <w:szCs w:val="36"/>
          <w14:textFill>
            <w14:solidFill>
              <w14:schemeClr w14:val="tx1"/>
            </w14:solidFill>
          </w14:textFill>
        </w:rPr>
        <w:t>专用合同条款</w:t>
      </w:r>
    </w:p>
    <w:p w14:paraId="7BF33F6B">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3" w:name="_Toc351203633"/>
      <w:r>
        <w:rPr>
          <w:rFonts w:hint="eastAsia" w:ascii="宋体" w:hAnsi="宋体" w:cs="黑体"/>
          <w:color w:val="000000" w:themeColor="text1"/>
          <w14:textFill>
            <w14:solidFill>
              <w14:schemeClr w14:val="tx1"/>
            </w14:solidFill>
          </w14:textFill>
        </w:rPr>
        <w:t>1</w:t>
      </w:r>
      <w:bookmarkStart w:id="14" w:name="_Toc292559866"/>
      <w:bookmarkStart w:id="15" w:name="_Toc296891196"/>
      <w:bookmarkStart w:id="16" w:name="_Toc292559361"/>
      <w:bookmarkStart w:id="17" w:name="_Toc296503156"/>
      <w:bookmarkStart w:id="18" w:name="_Toc296944495"/>
      <w:bookmarkStart w:id="19" w:name="_Toc296890984"/>
      <w:bookmarkStart w:id="20" w:name="_Toc297120456"/>
      <w:bookmarkStart w:id="21" w:name="_Toc297048342"/>
      <w:bookmarkStart w:id="22" w:name="_Toc296346657"/>
      <w:bookmarkStart w:id="23" w:name="_Toc296347155"/>
      <w:r>
        <w:rPr>
          <w:rFonts w:hint="eastAsia" w:ascii="宋体" w:hAnsi="宋体" w:cs="黑体"/>
          <w:color w:val="000000" w:themeColor="text1"/>
          <w14:textFill>
            <w14:solidFill>
              <w14:schemeClr w14:val="tx1"/>
            </w14:solidFill>
          </w14:textFill>
        </w:rPr>
        <w:t>. 一般约定</w:t>
      </w:r>
      <w:bookmarkEnd w:id="13"/>
    </w:p>
    <w:bookmarkEnd w:id="14"/>
    <w:bookmarkEnd w:id="15"/>
    <w:bookmarkEnd w:id="16"/>
    <w:bookmarkEnd w:id="17"/>
    <w:bookmarkEnd w:id="18"/>
    <w:bookmarkEnd w:id="19"/>
    <w:bookmarkEnd w:id="20"/>
    <w:bookmarkEnd w:id="21"/>
    <w:bookmarkEnd w:id="22"/>
    <w:bookmarkEnd w:id="23"/>
    <w:p w14:paraId="538A483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 词语定义</w:t>
      </w:r>
    </w:p>
    <w:p w14:paraId="2A8EDD51">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1.1.1合同</w:t>
      </w:r>
    </w:p>
    <w:p w14:paraId="48A59759">
      <w:pPr>
        <w:spacing w:line="400" w:lineRule="exact"/>
        <w:ind w:firstLine="411" w:firstLineChars="196"/>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1.1.1.10其他合同文件包括：</w:t>
      </w:r>
      <w:r>
        <w:rPr>
          <w:rFonts w:hint="eastAsia" w:ascii="宋体" w:hAnsi="宋体" w:eastAsia="宋体"/>
          <w:color w:val="000000" w:themeColor="text1"/>
          <w:szCs w:val="21"/>
          <w:u w:val="single"/>
          <w14:textFill>
            <w14:solidFill>
              <w14:schemeClr w14:val="tx1"/>
            </w14:solidFill>
          </w14:textFill>
        </w:rPr>
        <w:t>1、合同签署及履行中承发包双方之间澄清、洽商、变更等明确双方权利义务的纪要、补充协议2、本合同协议书3、中标通知书4、本合同专用条款5、本合同通用条款6、施工招标文件及附件7、标准、规范及有关技术文件 8、施工投标文件及附件9、工程量清单10、工程报价单或预算书。</w:t>
      </w:r>
    </w:p>
    <w:p w14:paraId="3F60E95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 合同当事人及其他相关方</w:t>
      </w:r>
    </w:p>
    <w:p w14:paraId="2BEA6B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1.1.2.4监理人：</w:t>
      </w:r>
    </w:p>
    <w:p w14:paraId="6A2C919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名    称：</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7CDAEA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资质类别和等级：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90A53F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E5C49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AFEE98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DFA2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1.1.2.5 设计人：</w:t>
      </w:r>
    </w:p>
    <w:p w14:paraId="12698EF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名    称：</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64017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资质类别和等级：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3D7D4F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7FE266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343D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499191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1.1.3 工程和设备</w:t>
      </w:r>
    </w:p>
    <w:p w14:paraId="55229F86">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1.1.3.7 作为施工现场组成部分的其他场所包括：</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14:textFill>
            <w14:solidFill>
              <w14:schemeClr w14:val="tx1"/>
            </w14:solidFill>
          </w14:textFill>
        </w:rPr>
        <w:t>。</w:t>
      </w:r>
    </w:p>
    <w:p w14:paraId="5D8F428C">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1.1.3.9 永久占地包括：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用地红线内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DE9528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1.1.3.10 临时占地包括：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施工过程中的临时用房，生产用地等</w:t>
      </w:r>
      <w:r>
        <w:rPr>
          <w:rFonts w:ascii="宋体" w:hAnsi="宋体" w:eastAsia="宋体"/>
          <w:color w:val="000000" w:themeColor="text1"/>
          <w:kern w:val="0"/>
          <w:szCs w:val="21"/>
          <w14:textFill>
            <w14:solidFill>
              <w14:schemeClr w14:val="tx1"/>
            </w14:solidFill>
          </w14:textFill>
        </w:rPr>
        <w:t>。</w:t>
      </w:r>
    </w:p>
    <w:p w14:paraId="26814DB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1.3法律 </w:t>
      </w:r>
    </w:p>
    <w:p w14:paraId="3EE91F92">
      <w:pPr>
        <w:autoSpaceDE w:val="0"/>
        <w:autoSpaceDN w:val="0"/>
        <w:adjustRightInd w:val="0"/>
        <w:spacing w:line="400" w:lineRule="exact"/>
        <w:ind w:firstLine="594" w:firstLineChars="283"/>
        <w:jc w:val="left"/>
        <w:rPr>
          <w:rFonts w:ascii="宋体" w:hAnsi="宋体" w:eastAsia="宋体" w:cs="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适用于合同的其他规范性文件：</w:t>
      </w:r>
      <w:r>
        <w:rPr>
          <w:rFonts w:hint="eastAsia" w:ascii="宋体" w:hAnsi="宋体" w:eastAsia="宋体" w:cs="宋体"/>
          <w:color w:val="000000" w:themeColor="text1"/>
          <w:szCs w:val="21"/>
          <w:u w:val="single"/>
          <w14:textFill>
            <w14:solidFill>
              <w14:schemeClr w14:val="tx1"/>
            </w14:solidFill>
          </w14:textFill>
        </w:rPr>
        <w:t>《中华人民共和国建筑法》、《中华人民共和国民法典》、《中华人民共和国招标投标法》、国务院《建设工程质量管理条例》、国务院《建设工程安全生产管理条例》、建设部《房屋建筑工程和市政基础设施工程竣工验收备案管理暂行办法》、建设部《房屋建筑工程质量保修办法》、《陕西省建设工程工程量清单计价规则》（2009版）、中华人民共和国《工程建设标准强制性条文》、现行《建筑工程质量验收统一标准》、《建筑工程施工及验收规范》等国家、部门及地方现行及后续的有关法律、法规、规章、规范性文件等</w:t>
      </w:r>
      <w:r>
        <w:rPr>
          <w:rFonts w:ascii="宋体" w:hAnsi="宋体" w:eastAsia="宋体"/>
          <w:color w:val="000000" w:themeColor="text1"/>
          <w:szCs w:val="21"/>
          <w14:textFill>
            <w14:solidFill>
              <w14:schemeClr w14:val="tx1"/>
            </w14:solidFill>
          </w14:textFill>
        </w:rPr>
        <w:t>。</w:t>
      </w:r>
    </w:p>
    <w:p w14:paraId="54A216A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 标准和规范</w:t>
      </w:r>
    </w:p>
    <w:p w14:paraId="6A077766">
      <w:pPr>
        <w:spacing w:line="400" w:lineRule="exact"/>
        <w:ind w:firstLine="594" w:firstLineChars="283"/>
        <w:rPr>
          <w:rFonts w:ascii="宋体" w:hAnsi="宋体" w:eastAsia="宋体" w:cs="MingLiU_HKSCS"/>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1.4.1适用于工程的标准规范包括：</w:t>
      </w:r>
      <w:r>
        <w:rPr>
          <w:rFonts w:hint="eastAsia" w:ascii="宋体" w:hAnsi="宋体" w:eastAsia="宋体" w:cs="MingLiU_HKSCS"/>
          <w:color w:val="000000" w:themeColor="text1"/>
          <w:szCs w:val="21"/>
          <w:u w:val="single"/>
          <w14:textFill>
            <w14:solidFill>
              <w14:schemeClr w14:val="tx1"/>
            </w14:solidFill>
          </w14:textFill>
        </w:rPr>
        <w:t>执行国家现行的技术标准、施工验收规范及质量检验评定标准，以及材料、设备所涉及的现行国家、省、市或行业的工程建设标准、规范的要求</w:t>
      </w:r>
      <w:r>
        <w:rPr>
          <w:rFonts w:ascii="宋体" w:hAnsi="宋体" w:eastAsia="宋体"/>
          <w:color w:val="000000" w:themeColor="text1"/>
          <w:szCs w:val="21"/>
          <w14:textFill>
            <w14:solidFill>
              <w14:schemeClr w14:val="tx1"/>
            </w14:solidFill>
          </w14:textFill>
        </w:rPr>
        <w:t>。</w:t>
      </w:r>
    </w:p>
    <w:p w14:paraId="595AD932">
      <w:pPr>
        <w:spacing w:line="400" w:lineRule="exact"/>
        <w:ind w:firstLine="420" w:firstLineChars="200"/>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1.4.2 发包人提供国外标准、规范的名称：</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F373E90">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发包人提供国外标准、规范的份数：</w:t>
      </w:r>
      <w:r>
        <w:rPr>
          <w:rFonts w:hint="eastAsia" w:ascii="宋体" w:hAnsi="宋体" w:eastAsia="宋体"/>
          <w:color w:val="000000" w:themeColor="text1"/>
          <w:kern w:val="0"/>
          <w:szCs w:val="21"/>
          <w:u w:val="single"/>
          <w14:textFill>
            <w14:solidFill>
              <w14:schemeClr w14:val="tx1"/>
            </w14:solidFill>
          </w14:textFill>
        </w:rPr>
        <w:t xml:space="preserve">  无 </w:t>
      </w:r>
      <w:r>
        <w:rPr>
          <w:rFonts w:ascii="宋体" w:hAnsi="宋体" w:eastAsia="宋体"/>
          <w:color w:val="000000" w:themeColor="text1"/>
          <w:kern w:val="0"/>
          <w:szCs w:val="21"/>
          <w14:textFill>
            <w14:solidFill>
              <w14:schemeClr w14:val="tx1"/>
            </w14:solidFill>
          </w14:textFill>
        </w:rPr>
        <w:t>；</w:t>
      </w:r>
    </w:p>
    <w:p w14:paraId="5141D92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发包人提供国外标准、规范的名称：</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0E55011">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1.4.3发包人对工程的技术标准和功能要求的特殊要求：</w:t>
      </w:r>
      <w:r>
        <w:rPr>
          <w:rFonts w:hint="eastAsia" w:ascii="宋体" w:hAnsi="宋体" w:eastAsia="宋体"/>
          <w:color w:val="000000" w:themeColor="text1"/>
          <w:szCs w:val="21"/>
          <w:u w:val="single"/>
          <w14:textFill>
            <w14:solidFill>
              <w14:schemeClr w14:val="tx1"/>
            </w14:solidFill>
          </w14:textFill>
        </w:rPr>
        <w:t xml:space="preserve"> 无 </w:t>
      </w:r>
      <w:r>
        <w:rPr>
          <w:rFonts w:hint="eastAsia" w:ascii="宋体" w:hAnsi="宋体" w:eastAsia="宋体"/>
          <w:color w:val="000000" w:themeColor="text1"/>
          <w:szCs w:val="21"/>
          <w14:textFill>
            <w14:solidFill>
              <w14:schemeClr w14:val="tx1"/>
            </w14:solidFill>
          </w14:textFill>
        </w:rPr>
        <w:t>。</w:t>
      </w:r>
    </w:p>
    <w:p w14:paraId="676F41A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 合同文件的优先顺序</w:t>
      </w:r>
    </w:p>
    <w:p w14:paraId="335BA0D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合同文件组成及优先顺序为：</w:t>
      </w:r>
      <w:r>
        <w:rPr>
          <w:rFonts w:hint="eastAsia" w:ascii="宋体" w:hAnsi="宋体" w:eastAsia="宋体"/>
          <w:color w:val="000000" w:themeColor="text1"/>
          <w:szCs w:val="21"/>
          <w:u w:val="single"/>
          <w14:textFill>
            <w14:solidFill>
              <w14:schemeClr w14:val="tx1"/>
            </w14:solidFill>
          </w14:textFill>
        </w:rPr>
        <w:t>1、合同签署及履行中承发包双方之间澄清、洽商、变更等明确双方权利义务的纪要、补充协议2、本合同协议书3、中标通知书4、本合同专用条款及其附件5、本合同通用条款6、施工招标文件及附件7、标准、规范及有关技术文件8、施工投标文件及附件9、工程量清单10、工程报价单或预算书，以及其他合同文件</w:t>
      </w:r>
      <w:r>
        <w:rPr>
          <w:rFonts w:ascii="宋体" w:hAnsi="宋体" w:eastAsia="宋体"/>
          <w:color w:val="000000" w:themeColor="text1"/>
          <w:szCs w:val="21"/>
          <w14:textFill>
            <w14:solidFill>
              <w14:schemeClr w14:val="tx1"/>
            </w14:solidFill>
          </w14:textFill>
        </w:rPr>
        <w:t>。</w:t>
      </w:r>
    </w:p>
    <w:p w14:paraId="25A6877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 图纸和承包人文件</w:t>
      </w:r>
      <w:r>
        <w:rPr>
          <w:rFonts w:ascii="宋体" w:hAnsi="宋体" w:eastAsia="宋体"/>
          <w:color w:val="000000" w:themeColor="text1"/>
          <w:szCs w:val="21"/>
          <w14:textFill>
            <w14:solidFill>
              <w14:schemeClr w14:val="tx1"/>
            </w14:solidFill>
          </w14:textFill>
        </w:rPr>
        <w:tab/>
      </w:r>
    </w:p>
    <w:p w14:paraId="2932C27B">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1.6.1 图纸的提供</w:t>
      </w:r>
      <w:r>
        <w:rPr>
          <w:rFonts w:hint="eastAsia" w:ascii="宋体" w:hAnsi="宋体" w:eastAsia="宋体"/>
          <w:color w:val="000000" w:themeColor="text1"/>
          <w:szCs w:val="21"/>
          <w14:textFill>
            <w14:solidFill>
              <w14:schemeClr w14:val="tx1"/>
            </w14:solidFill>
          </w14:textFill>
        </w:rPr>
        <w:t>：</w:t>
      </w:r>
    </w:p>
    <w:p w14:paraId="03D4A4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发包人向承包人提供图纸的期限</w:t>
      </w:r>
      <w:r>
        <w:rPr>
          <w:rFonts w:hint="eastAsia" w:ascii="宋体" w:hAnsi="宋体" w:eastAsia="宋体"/>
          <w:color w:val="000000" w:themeColor="text1"/>
          <w:szCs w:val="21"/>
          <w:u w:val="single"/>
          <w14:textFill>
            <w14:solidFill>
              <w14:schemeClr w14:val="tx1"/>
            </w14:solidFill>
          </w14:textFill>
        </w:rPr>
        <w:t>：在合同签订后5日内</w:t>
      </w:r>
      <w:r>
        <w:rPr>
          <w:rFonts w:hint="eastAsia" w:ascii="宋体" w:hAnsi="宋体" w:eastAsia="宋体"/>
          <w:color w:val="000000" w:themeColor="text1"/>
          <w:szCs w:val="21"/>
          <w14:textFill>
            <w14:solidFill>
              <w14:schemeClr w14:val="tx1"/>
            </w14:solidFill>
          </w14:textFill>
        </w:rPr>
        <w:t>；</w:t>
      </w:r>
    </w:p>
    <w:p w14:paraId="48C841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发包人向承包人提供图纸的数量：</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6F115FB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发包人向承包人提供图纸的内容：</w:t>
      </w:r>
      <w:r>
        <w:rPr>
          <w:rFonts w:hint="eastAsia" w:ascii="宋体" w:hAnsi="宋体" w:eastAsia="宋体"/>
          <w:color w:val="000000" w:themeColor="text1"/>
          <w:szCs w:val="21"/>
          <w:u w:val="single"/>
          <w14:textFill>
            <w14:solidFill>
              <w14:schemeClr w14:val="tx1"/>
            </w14:solidFill>
          </w14:textFill>
        </w:rPr>
        <w:t>施工图</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24C10F6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1.6.4 承包人文件</w:t>
      </w:r>
    </w:p>
    <w:p w14:paraId="0859CB4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需要由承包人提供的文件，包括：</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施工组织设计（施工方案）、工期进度计划、安全文明施工措施、人员安排等 </w:t>
      </w:r>
      <w:r>
        <w:rPr>
          <w:rFonts w:ascii="宋体" w:hAnsi="宋体" w:eastAsia="宋体"/>
          <w:color w:val="000000" w:themeColor="text1"/>
          <w:szCs w:val="21"/>
          <w14:textFill>
            <w14:solidFill>
              <w14:schemeClr w14:val="tx1"/>
            </w14:solidFill>
          </w14:textFill>
        </w:rPr>
        <w:t>；</w:t>
      </w:r>
    </w:p>
    <w:p w14:paraId="115D588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承包人提供的文件的期限为：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开工前</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日内 </w:t>
      </w:r>
      <w:r>
        <w:rPr>
          <w:rFonts w:ascii="宋体" w:hAnsi="宋体" w:eastAsia="宋体"/>
          <w:color w:val="000000" w:themeColor="text1"/>
          <w:szCs w:val="21"/>
          <w14:textFill>
            <w14:solidFill>
              <w14:schemeClr w14:val="tx1"/>
            </w14:solidFill>
          </w14:textFill>
        </w:rPr>
        <w:t>；</w:t>
      </w:r>
    </w:p>
    <w:p w14:paraId="16C6FDC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承包人提供的文件的数量为：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不少于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份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C28B5D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承包人提供的文件的形式为：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纸质文件及电子文档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0EFCF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承包人文件的期限：</w:t>
      </w:r>
      <w:r>
        <w:rPr>
          <w:rFonts w:hint="eastAsia" w:ascii="宋体" w:hAnsi="宋体" w:eastAsia="宋体" w:cs="MingLiU_HKSCS"/>
          <w:color w:val="000000" w:themeColor="text1"/>
          <w:szCs w:val="21"/>
          <w:u w:val="single"/>
          <w14:textFill>
            <w14:solidFill>
              <w14:schemeClr w14:val="tx1"/>
            </w14:solidFill>
          </w14:textFill>
        </w:rPr>
        <w:t xml:space="preserve"> 接到</w:t>
      </w:r>
      <w:r>
        <w:rPr>
          <w:rFonts w:hint="eastAsia" w:ascii="宋体" w:hAnsi="宋体" w:eastAsia="宋体"/>
          <w:color w:val="000000" w:themeColor="text1"/>
          <w:szCs w:val="21"/>
          <w:u w:val="single"/>
          <w14:textFill>
            <w14:solidFill>
              <w14:schemeClr w14:val="tx1"/>
            </w14:solidFill>
          </w14:textFill>
        </w:rPr>
        <w:t>承包人文件后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日内</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7F907D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1.6.5 现场图纸准备</w:t>
      </w:r>
    </w:p>
    <w:p w14:paraId="00771FA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关于现场图纸准备的约定：执行通用条款。</w:t>
      </w:r>
    </w:p>
    <w:p w14:paraId="5987F42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 联络</w:t>
      </w:r>
    </w:p>
    <w:p w14:paraId="06B4CFF1">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1.7.1发包人和承包人应当在</w:t>
      </w:r>
      <w:r>
        <w:rPr>
          <w:rFonts w:hint="eastAsia" w:ascii="宋体" w:hAnsi="宋体" w:eastAsia="宋体" w:cs="MingLiU_HKSCS"/>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天内将与合同有关的通知、批准、证明、证书、指示、指令、要求、请求、同意、意见、确定和决定等书面函件送达对方当事人</w:t>
      </w:r>
      <w:r>
        <w:rPr>
          <w:rFonts w:hint="eastAsia" w:ascii="宋体" w:hAnsi="宋体" w:eastAsia="宋体"/>
          <w:color w:val="000000" w:themeColor="text1"/>
          <w:kern w:val="0"/>
          <w:szCs w:val="21"/>
          <w14:textFill>
            <w14:solidFill>
              <w14:schemeClr w14:val="tx1"/>
            </w14:solidFill>
          </w14:textFill>
        </w:rPr>
        <w:t>。</w:t>
      </w:r>
    </w:p>
    <w:p w14:paraId="3F8F401C">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1.7.2 发包人接收文件的地点：</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w:t>
      </w:r>
    </w:p>
    <w:p w14:paraId="6AA25AEB">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55E0ECF5">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承包人接收文件的地点：</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7BC057F7">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2365D01B">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监理人接收文件的地点：</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w:t>
      </w:r>
    </w:p>
    <w:p w14:paraId="287EC585">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监理人指定的接收人为：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76A07AC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1.10 交通运输</w:t>
      </w:r>
    </w:p>
    <w:p w14:paraId="3B2DA59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24" w:name="_Toc312677986"/>
      <w:bookmarkStart w:id="25" w:name="_Toc303539100"/>
      <w:bookmarkStart w:id="26" w:name="_Toc304295521"/>
      <w:bookmarkStart w:id="27" w:name="_Toc318581155"/>
      <w:bookmarkStart w:id="28" w:name="_Toc300934943"/>
      <w:r>
        <w:rPr>
          <w:rFonts w:ascii="宋体" w:hAnsi="宋体" w:eastAsia="宋体"/>
          <w:color w:val="000000" w:themeColor="text1"/>
          <w:szCs w:val="21"/>
          <w14:textFill>
            <w14:solidFill>
              <w14:schemeClr w14:val="tx1"/>
            </w14:solidFill>
          </w14:textFill>
        </w:rPr>
        <w:t>.10.1 出入现场的权利</w:t>
      </w:r>
    </w:p>
    <w:p w14:paraId="29C0708C">
      <w:pPr>
        <w:spacing w:line="400" w:lineRule="exact"/>
        <w:ind w:left="596" w:leftChars="284"/>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关于出入现场的权利的约定：</w:t>
      </w:r>
      <w:r>
        <w:rPr>
          <w:rFonts w:hint="eastAsia" w:ascii="宋体" w:hAnsi="宋体" w:eastAsia="宋体" w:cs="MingLiU_HKSCS"/>
          <w:color w:val="000000" w:themeColor="text1"/>
          <w:szCs w:val="21"/>
          <w:u w:val="single"/>
          <w14:textFill>
            <w14:solidFill>
              <w14:schemeClr w14:val="tx1"/>
            </w14:solidFill>
          </w14:textFill>
        </w:rPr>
        <w:t>承包人负责现场管理，发包人遵守承包人现场管理的规定</w:t>
      </w:r>
      <w:r>
        <w:rPr>
          <w:rFonts w:ascii="宋体" w:hAnsi="宋体" w:eastAsia="宋体"/>
          <w:color w:val="000000" w:themeColor="text1"/>
          <w:szCs w:val="21"/>
          <w14:textFill>
            <w14:solidFill>
              <w14:schemeClr w14:val="tx1"/>
            </w14:solidFill>
          </w14:textFill>
        </w:rPr>
        <w:t>。</w:t>
      </w:r>
    </w:p>
    <w:bookmarkEnd w:id="24"/>
    <w:bookmarkEnd w:id="25"/>
    <w:bookmarkEnd w:id="26"/>
    <w:bookmarkEnd w:id="27"/>
    <w:bookmarkEnd w:id="28"/>
    <w:p w14:paraId="10A0AAD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29" w:name="_Toc312677987"/>
      <w:bookmarkStart w:id="30" w:name="_Toc318581156"/>
      <w:bookmarkStart w:id="31" w:name="_Toc300934944"/>
      <w:bookmarkStart w:id="32" w:name="_Toc304295522"/>
      <w:bookmarkStart w:id="33" w:name="_Toc303539101"/>
      <w:r>
        <w:rPr>
          <w:rFonts w:ascii="宋体" w:hAnsi="宋体" w:eastAsia="宋体"/>
          <w:color w:val="000000" w:themeColor="text1"/>
          <w:szCs w:val="21"/>
          <w14:textFill>
            <w14:solidFill>
              <w14:schemeClr w14:val="tx1"/>
            </w14:solidFill>
          </w14:textFill>
        </w:rPr>
        <w:t>.10.3 场内交通</w:t>
      </w:r>
    </w:p>
    <w:p w14:paraId="241B66E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关于场外交通和场内交通的边界的约定：</w:t>
      </w:r>
      <w:r>
        <w:rPr>
          <w:rFonts w:hint="eastAsia" w:ascii="宋体" w:hAnsi="宋体" w:eastAsia="宋体"/>
          <w:color w:val="000000" w:themeColor="text1"/>
          <w:szCs w:val="21"/>
          <w:u w:val="single"/>
          <w14:textFill>
            <w14:solidFill>
              <w14:schemeClr w14:val="tx1"/>
            </w14:solidFill>
          </w14:textFill>
        </w:rPr>
        <w:t>施工围墙以外为场外交通，施工围墙以内为场内交通，但施工大门至公共道路处为场内交通</w:t>
      </w:r>
      <w:r>
        <w:rPr>
          <w:rFonts w:ascii="宋体" w:hAnsi="宋体" w:eastAsia="宋体"/>
          <w:color w:val="000000" w:themeColor="text1"/>
          <w:szCs w:val="21"/>
          <w14:textFill>
            <w14:solidFill>
              <w14:schemeClr w14:val="tx1"/>
            </w14:solidFill>
          </w14:textFill>
        </w:rPr>
        <w:t>。</w:t>
      </w:r>
    </w:p>
    <w:p w14:paraId="2DDDCD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关于发包人向承包人免费提供满足工程施工需要的场内道路和交通设施的约定：</w:t>
      </w:r>
      <w:r>
        <w:rPr>
          <w:rFonts w:hint="eastAsia" w:ascii="宋体" w:hAnsi="宋体" w:eastAsia="宋体"/>
          <w:color w:val="000000" w:themeColor="text1"/>
          <w:szCs w:val="21"/>
          <w:u w:val="single"/>
          <w14:textFill>
            <w14:solidFill>
              <w14:schemeClr w14:val="tx1"/>
            </w14:solidFill>
          </w14:textFill>
        </w:rPr>
        <w:t>场内道路的施工及交通设施由承包人负责，场外道路设施由发包人承担</w:t>
      </w:r>
      <w:r>
        <w:rPr>
          <w:rFonts w:ascii="宋体" w:hAnsi="宋体" w:eastAsia="宋体"/>
          <w:color w:val="000000" w:themeColor="text1"/>
          <w:szCs w:val="21"/>
          <w:u w:val="single"/>
          <w14:textFill>
            <w14:solidFill>
              <w14:schemeClr w14:val="tx1"/>
            </w14:solidFill>
          </w14:textFill>
        </w:rPr>
        <w:t>。</w:t>
      </w:r>
      <w:bookmarkEnd w:id="29"/>
      <w:bookmarkEnd w:id="30"/>
      <w:bookmarkEnd w:id="31"/>
      <w:bookmarkEnd w:id="32"/>
      <w:bookmarkEnd w:id="33"/>
      <w:bookmarkStart w:id="34" w:name="_Toc318581157"/>
    </w:p>
    <w:p w14:paraId="63B6B13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1.10.4超大件和超重件的运输</w:t>
      </w:r>
    </w:p>
    <w:p w14:paraId="5EBE061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运输超大件或超重件所需的道路和桥梁临时加固改造费用和其他有关费用由</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14:textFill>
            <w14:solidFill>
              <w14:schemeClr w14:val="tx1"/>
            </w14:solidFill>
          </w14:textFill>
        </w:rPr>
        <w:t>承担。</w:t>
      </w:r>
    </w:p>
    <w:bookmarkEnd w:id="34"/>
    <w:p w14:paraId="7310BEB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 知识产权</w:t>
      </w:r>
    </w:p>
    <w:p w14:paraId="2B9779B7">
      <w:pPr>
        <w:spacing w:line="400" w:lineRule="exact"/>
        <w:ind w:firstLine="420" w:firstLineChars="200"/>
        <w:rPr>
          <w:rFonts w:ascii="宋体" w:hAnsi="宋体" w:eastAsia="宋体" w:cs="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olor w:val="000000" w:themeColor="text1"/>
          <w:szCs w:val="21"/>
          <w:u w:val="single"/>
          <w14:textFill>
            <w14:solidFill>
              <w14:schemeClr w14:val="tx1"/>
            </w14:solidFill>
          </w14:textFill>
        </w:rPr>
        <w:t>发包人</w:t>
      </w:r>
      <w:r>
        <w:rPr>
          <w:rFonts w:ascii="宋体" w:hAnsi="宋体" w:eastAsia="宋体"/>
          <w:color w:val="000000" w:themeColor="text1"/>
          <w:szCs w:val="21"/>
          <w14:textFill>
            <w14:solidFill>
              <w14:schemeClr w14:val="tx1"/>
            </w14:solidFill>
          </w14:textFill>
        </w:rPr>
        <w:t>。</w:t>
      </w:r>
    </w:p>
    <w:p w14:paraId="52373F62">
      <w:pPr>
        <w:spacing w:line="400" w:lineRule="exact"/>
        <w:ind w:firstLine="594" w:firstLineChars="283"/>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关于发包人提供的上述文件的使用限制的要求：</w:t>
      </w:r>
      <w:r>
        <w:rPr>
          <w:rFonts w:hint="eastAsia" w:ascii="宋体" w:hAnsi="宋体" w:eastAsia="宋体"/>
          <w:color w:val="000000" w:themeColor="text1"/>
          <w:szCs w:val="21"/>
          <w:u w:val="single"/>
          <w14:textFill>
            <w14:solidFill>
              <w14:schemeClr w14:val="tx1"/>
            </w14:solidFill>
          </w14:textFill>
        </w:rPr>
        <w:t>承包人对上述文件复制应经发包人同意并记录，按受控文件要求进行管理，不得外传、外借。</w:t>
      </w:r>
    </w:p>
    <w:p w14:paraId="4E65713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1.11.2 关于承包人为实施工程所编制文件的著作权的归属：</w:t>
      </w:r>
      <w:r>
        <w:rPr>
          <w:rFonts w:hint="eastAsia" w:ascii="宋体" w:hAnsi="宋体" w:eastAsia="宋体"/>
          <w:color w:val="000000" w:themeColor="text1"/>
          <w:szCs w:val="21"/>
          <w:u w:val="single"/>
          <w14:textFill>
            <w14:solidFill>
              <w14:schemeClr w14:val="tx1"/>
            </w14:solidFill>
          </w14:textFill>
        </w:rPr>
        <w:t>发包人</w:t>
      </w:r>
      <w:r>
        <w:rPr>
          <w:rFonts w:ascii="宋体" w:hAnsi="宋体" w:eastAsia="宋体"/>
          <w:color w:val="000000" w:themeColor="text1"/>
          <w:szCs w:val="21"/>
          <w14:textFill>
            <w14:solidFill>
              <w14:schemeClr w14:val="tx1"/>
            </w14:solidFill>
          </w14:textFill>
        </w:rPr>
        <w:t>。</w:t>
      </w:r>
    </w:p>
    <w:p w14:paraId="5B7CC9E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关于承包人提供的上述文件的使用限制的要求：</w:t>
      </w:r>
      <w:r>
        <w:rPr>
          <w:rFonts w:hint="eastAsia" w:ascii="宋体" w:hAnsi="宋体" w:eastAsia="宋体"/>
          <w:color w:val="000000" w:themeColor="text1"/>
          <w:szCs w:val="21"/>
          <w:u w:val="single"/>
          <w14:textFill>
            <w14:solidFill>
              <w14:schemeClr w14:val="tx1"/>
            </w14:solidFill>
          </w14:textFill>
        </w:rPr>
        <w:t>承包人对上述文件复制应经发包人同意并记录，按受控文件要求进行管理，不得外传、外借</w:t>
      </w:r>
      <w:r>
        <w:rPr>
          <w:rFonts w:ascii="宋体" w:hAnsi="宋体" w:eastAsia="宋体"/>
          <w:color w:val="000000" w:themeColor="text1"/>
          <w:szCs w:val="21"/>
          <w14:textFill>
            <w14:solidFill>
              <w14:schemeClr w14:val="tx1"/>
            </w14:solidFill>
          </w14:textFill>
        </w:rPr>
        <w:t>。</w:t>
      </w:r>
    </w:p>
    <w:p w14:paraId="47F58090">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1.11.4 承包人在施工过程中所采用的专利、专有技术、技术秘密的使用费的承担方式：</w:t>
      </w:r>
      <w:r>
        <w:rPr>
          <w:rFonts w:hint="eastAsia" w:ascii="宋体" w:hAnsi="宋体" w:eastAsia="宋体" w:cs="MingLiU_HKSCS"/>
          <w:color w:val="000000" w:themeColor="text1"/>
          <w:szCs w:val="21"/>
          <w:u w:val="single"/>
          <w14:textFill>
            <w14:solidFill>
              <w14:schemeClr w14:val="tx1"/>
            </w14:solidFill>
          </w14:textFill>
        </w:rPr>
        <w:t>承包人自行承担</w:t>
      </w:r>
      <w:r>
        <w:rPr>
          <w:rFonts w:ascii="宋体" w:hAnsi="宋体" w:eastAsia="宋体"/>
          <w:color w:val="000000" w:themeColor="text1"/>
          <w:kern w:val="0"/>
          <w:szCs w:val="21"/>
          <w14:textFill>
            <w14:solidFill>
              <w14:schemeClr w14:val="tx1"/>
            </w14:solidFill>
          </w14:textFill>
        </w:rPr>
        <w:t>。</w:t>
      </w:r>
    </w:p>
    <w:p w14:paraId="3DA7E0D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1.13工程量清单错误的修正</w:t>
      </w:r>
    </w:p>
    <w:p w14:paraId="5317D86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出现工程量清单错误时，是否调整合同价格：</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是</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D16EF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允许调整合同价格的工程量偏差范围：</w:t>
      </w:r>
      <w:r>
        <w:rPr>
          <w:rFonts w:hint="eastAsia" w:ascii="宋体" w:hAnsi="宋体" w:eastAsia="宋体" w:cs="宋体"/>
          <w:color w:val="000000" w:themeColor="text1"/>
          <w:szCs w:val="21"/>
          <w:u w:val="single"/>
          <w14:textFill>
            <w14:solidFill>
              <w14:schemeClr w14:val="tx1"/>
            </w14:solidFill>
          </w14:textFill>
        </w:rPr>
        <w:t>工程量据实调整。</w:t>
      </w:r>
    </w:p>
    <w:p w14:paraId="4BF18F59">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35" w:name="_Toc351203634"/>
      <w:r>
        <w:rPr>
          <w:rFonts w:hint="eastAsia" w:ascii="宋体" w:hAnsi="宋体" w:cs="黑体"/>
          <w:color w:val="000000" w:themeColor="text1"/>
          <w14:textFill>
            <w14:solidFill>
              <w14:schemeClr w14:val="tx1"/>
            </w14:solidFill>
          </w14:textFill>
        </w:rPr>
        <w:t>2</w:t>
      </w:r>
      <w:bookmarkStart w:id="36" w:name="_Toc296346658"/>
      <w:bookmarkStart w:id="37" w:name="_Toc297048343"/>
      <w:bookmarkStart w:id="38" w:name="_Toc292559362"/>
      <w:bookmarkStart w:id="39" w:name="_Toc296891197"/>
      <w:bookmarkStart w:id="40" w:name="_Toc296503157"/>
      <w:bookmarkStart w:id="41" w:name="_Toc296890985"/>
      <w:bookmarkStart w:id="42" w:name="_Toc292559867"/>
      <w:bookmarkStart w:id="43" w:name="_Toc296944496"/>
      <w:bookmarkStart w:id="44" w:name="_Toc296347156"/>
      <w:bookmarkStart w:id="45" w:name="_Toc297120457"/>
      <w:r>
        <w:rPr>
          <w:rFonts w:hint="eastAsia" w:ascii="宋体" w:hAnsi="宋体" w:cs="黑体"/>
          <w:color w:val="000000" w:themeColor="text1"/>
          <w14:textFill>
            <w14:solidFill>
              <w14:schemeClr w14:val="tx1"/>
            </w14:solidFill>
          </w14:textFill>
        </w:rPr>
        <w:t>. 发包人</w:t>
      </w:r>
      <w:bookmarkEnd w:id="35"/>
    </w:p>
    <w:bookmarkEnd w:id="36"/>
    <w:bookmarkEnd w:id="37"/>
    <w:bookmarkEnd w:id="38"/>
    <w:bookmarkEnd w:id="39"/>
    <w:bookmarkEnd w:id="40"/>
    <w:bookmarkEnd w:id="41"/>
    <w:bookmarkEnd w:id="42"/>
    <w:bookmarkEnd w:id="43"/>
    <w:bookmarkEnd w:id="44"/>
    <w:bookmarkEnd w:id="45"/>
    <w:p w14:paraId="313C2A5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2.2 发包人代表</w:t>
      </w:r>
    </w:p>
    <w:p w14:paraId="0AAB5B5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发包人代表：</w:t>
      </w:r>
    </w:p>
    <w:p w14:paraId="155F9C0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6DFC2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身份证号：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5FABDD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职    务：</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510D84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28C4A7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B7D49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0E8DD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发包人对发包人代表的授权范围如下：</w:t>
      </w:r>
      <w:r>
        <w:rPr>
          <w:rFonts w:hint="eastAsia" w:ascii="宋体" w:hAnsi="宋体" w:eastAsia="宋体"/>
          <w:color w:val="000000" w:themeColor="text1"/>
          <w:szCs w:val="21"/>
          <w:u w:val="single"/>
          <w14:textFill>
            <w14:solidFill>
              <w14:schemeClr w14:val="tx1"/>
            </w14:solidFill>
          </w14:textFill>
        </w:rPr>
        <w:t>负责施工全过程的安全、进度、质量及现场费用控制管理、协调现场各种关系等。</w:t>
      </w:r>
    </w:p>
    <w:p w14:paraId="4DE350A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 施工现场、施工条件和基础资料的提供</w:t>
      </w:r>
    </w:p>
    <w:p w14:paraId="6CA7D84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2.4.1 提供施工现场</w:t>
      </w:r>
    </w:p>
    <w:p w14:paraId="78E4228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关于发包人移交施工现场的期限要求：</w:t>
      </w:r>
      <w:r>
        <w:rPr>
          <w:rFonts w:hint="eastAsia" w:ascii="宋体" w:hAnsi="宋体" w:eastAsia="宋体"/>
          <w:color w:val="000000" w:themeColor="text1"/>
          <w:szCs w:val="21"/>
          <w:u w:val="single"/>
          <w14:textFill>
            <w14:solidFill>
              <w14:schemeClr w14:val="tx1"/>
            </w14:solidFill>
          </w14:textFill>
        </w:rPr>
        <w:t>按通用条款执行</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BBEB7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2.4.2 提供施工条件</w:t>
      </w:r>
    </w:p>
    <w:p w14:paraId="55F6BCD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关于发包人应负责提供施工</w:t>
      </w:r>
      <w:r>
        <w:rPr>
          <w:rFonts w:hint="eastAsia" w:ascii="宋体" w:hAnsi="宋体" w:eastAsia="宋体"/>
          <w:color w:val="000000" w:themeColor="text1"/>
          <w:szCs w:val="21"/>
          <w14:textFill>
            <w14:solidFill>
              <w14:schemeClr w14:val="tx1"/>
            </w14:solidFill>
          </w14:textFill>
        </w:rPr>
        <w:t>所需要的条件，</w:t>
      </w:r>
      <w:r>
        <w:rPr>
          <w:rFonts w:ascii="宋体" w:hAnsi="宋体" w:eastAsia="宋体"/>
          <w:color w:val="000000" w:themeColor="text1"/>
          <w:szCs w:val="21"/>
          <w14:textFill>
            <w14:solidFill>
              <w14:schemeClr w14:val="tx1"/>
            </w14:solidFill>
          </w14:textFill>
        </w:rPr>
        <w:t>包括：</w:t>
      </w:r>
    </w:p>
    <w:p w14:paraId="2FC67742">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a、工程开工前，发包人负责将水准点与座标控制点以书面形式交给承包人，并进行现场交验，承包人正式放线后，由发包人负责及时请城建管理部门进行验线。</w:t>
      </w:r>
    </w:p>
    <w:p w14:paraId="2B46942D">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b、将施工所需的水电线路接至施工场地的时间、地点和供应要求：承包人在发包人现场指定地点，将水电引至施工现场。</w:t>
      </w:r>
    </w:p>
    <w:p w14:paraId="7F811627">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c、</w:t>
      </w:r>
      <w:r>
        <w:rPr>
          <w:rFonts w:ascii="宋体" w:hAnsi="宋体" w:eastAsia="宋体"/>
          <w:color w:val="000000" w:themeColor="text1"/>
          <w:szCs w:val="21"/>
          <w:u w:val="single"/>
          <w14:textFill>
            <w14:solidFill>
              <w14:schemeClr w14:val="tx1"/>
            </w14:solidFill>
          </w14:textFill>
        </w:rPr>
        <w:t>通讯线路和设备由</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自行解决并承担其费用。</w:t>
      </w:r>
    </w:p>
    <w:p w14:paraId="2F2A272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2.5 资金来源证明及支付担保</w:t>
      </w:r>
    </w:p>
    <w:p w14:paraId="09A8969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发包人提供资金来源证明的期限要求：</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无</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984225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发包人是否提供支付担保：</w:t>
      </w:r>
      <w:r>
        <w:rPr>
          <w:rFonts w:hint="eastAsia" w:ascii="宋体" w:hAnsi="宋体" w:eastAsia="宋体" w:cs="MingLiU_HKSCS"/>
          <w:color w:val="000000" w:themeColor="text1"/>
          <w:szCs w:val="21"/>
          <w:u w:val="single"/>
          <w14:textFill>
            <w14:solidFill>
              <w14:schemeClr w14:val="tx1"/>
            </w14:solidFill>
          </w14:textFill>
        </w:rPr>
        <w:t xml:space="preserve">       无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4A7E26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发包人提供支付担保的形式：</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无</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E9774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46" w:name="_Toc351203635"/>
      <w:r>
        <w:rPr>
          <w:rFonts w:hint="eastAsia" w:ascii="宋体" w:hAnsi="宋体" w:cs="黑体"/>
          <w:color w:val="000000" w:themeColor="text1"/>
          <w14:textFill>
            <w14:solidFill>
              <w14:schemeClr w14:val="tx1"/>
            </w14:solidFill>
          </w14:textFill>
        </w:rPr>
        <w:t>3</w:t>
      </w:r>
      <w:bookmarkStart w:id="47" w:name="_Toc292559363"/>
      <w:bookmarkStart w:id="48" w:name="_Toc292559868"/>
      <w:bookmarkStart w:id="49" w:name="_Toc296347157"/>
      <w:bookmarkStart w:id="50" w:name="_Toc296890986"/>
      <w:bookmarkStart w:id="51" w:name="_Toc296944497"/>
      <w:bookmarkStart w:id="52" w:name="_Toc297048344"/>
      <w:bookmarkStart w:id="53" w:name="_Toc296346659"/>
      <w:bookmarkStart w:id="54" w:name="_Toc297120458"/>
      <w:bookmarkStart w:id="55" w:name="_Toc296891198"/>
      <w:bookmarkStart w:id="56" w:name="_Toc296503158"/>
      <w:r>
        <w:rPr>
          <w:rFonts w:hint="eastAsia" w:ascii="宋体" w:hAnsi="宋体" w:cs="黑体"/>
          <w:color w:val="000000" w:themeColor="text1"/>
          <w14:textFill>
            <w14:solidFill>
              <w14:schemeClr w14:val="tx1"/>
            </w14:solidFill>
          </w14:textFill>
        </w:rPr>
        <w:t>. 承包人</w:t>
      </w:r>
      <w:bookmarkEnd w:id="46"/>
    </w:p>
    <w:bookmarkEnd w:id="47"/>
    <w:bookmarkEnd w:id="48"/>
    <w:bookmarkEnd w:id="49"/>
    <w:bookmarkEnd w:id="50"/>
    <w:bookmarkEnd w:id="51"/>
    <w:bookmarkEnd w:id="52"/>
    <w:bookmarkEnd w:id="53"/>
    <w:bookmarkEnd w:id="54"/>
    <w:bookmarkEnd w:id="55"/>
    <w:bookmarkEnd w:id="56"/>
    <w:p w14:paraId="4FF720D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3.1 承包人的一般义务</w:t>
      </w:r>
    </w:p>
    <w:p w14:paraId="0C3777F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（5）</w:t>
      </w:r>
      <w:r>
        <w:rPr>
          <w:rFonts w:ascii="宋体" w:hAnsi="宋体" w:eastAsia="宋体"/>
          <w:color w:val="000000" w:themeColor="text1"/>
          <w:szCs w:val="21"/>
          <w14:textFill>
            <w14:solidFill>
              <w14:schemeClr w14:val="tx1"/>
            </w14:solidFill>
          </w14:textFill>
        </w:rPr>
        <w:t>承包人提交的竣工资料的内容：</w:t>
      </w:r>
      <w:r>
        <w:rPr>
          <w:rFonts w:ascii="宋体" w:hAnsi="宋体" w:eastAsia="宋体"/>
          <w:color w:val="000000" w:themeColor="text1"/>
          <w:szCs w:val="21"/>
          <w:u w:val="single"/>
          <w14:textFill>
            <w14:solidFill>
              <w14:schemeClr w14:val="tx1"/>
            </w14:solidFill>
          </w14:textFill>
        </w:rPr>
        <w:t>竣工验收后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个月内，</w:t>
      </w:r>
      <w:r>
        <w:rPr>
          <w:rFonts w:hint="eastAsia" w:ascii="宋体" w:hAnsi="宋体" w:eastAsia="宋体"/>
          <w:color w:val="000000" w:themeColor="text1"/>
          <w:szCs w:val="21"/>
          <w:u w:val="single"/>
          <w14:textFill>
            <w14:solidFill>
              <w14:schemeClr w14:val="tx1"/>
            </w14:solidFill>
          </w14:textFill>
        </w:rPr>
        <w:t>提交竣工图及完整资料文件。</w:t>
      </w:r>
    </w:p>
    <w:p w14:paraId="756E429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承包人需要提交的竣工资料套数：</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不少于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套</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DDC07A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承包人提交的竣工资料的费用承担：</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承包人承担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D22779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承包人提交的竣工资料移交时间：</w:t>
      </w:r>
      <w:r>
        <w:rPr>
          <w:rFonts w:ascii="宋体" w:hAnsi="宋体" w:eastAsia="宋体"/>
          <w:color w:val="000000" w:themeColor="text1"/>
          <w:szCs w:val="21"/>
          <w:u w:val="single"/>
          <w14:textFill>
            <w14:solidFill>
              <w14:schemeClr w14:val="tx1"/>
            </w14:solidFill>
          </w14:textFill>
        </w:rPr>
        <w:t xml:space="preserve">   竣工验收后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个月内</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58F744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承包人提交的竣工资料形式要求：</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纸质文件及电子文档</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78D1B16">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10</w:t>
      </w:r>
      <w:r>
        <w:rPr>
          <w:rFonts w:ascii="宋体" w:hAnsi="宋体" w:eastAsia="宋体"/>
          <w:color w:val="000000" w:themeColor="text1"/>
          <w:kern w:val="0"/>
          <w:szCs w:val="21"/>
          <w14:textFill>
            <w14:solidFill>
              <w14:schemeClr w14:val="tx1"/>
            </w14:solidFill>
          </w14:textFill>
        </w:rPr>
        <w:t>）承包人应履行的其他义务：</w:t>
      </w:r>
    </w:p>
    <w:p w14:paraId="19573AD5">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a、承担施工安全保卫工作及非夜间施工照明的责任和要求：</w:t>
      </w:r>
      <w:r>
        <w:rPr>
          <w:rFonts w:hint="eastAsia" w:ascii="宋体" w:hAnsi="宋体" w:eastAsia="宋体"/>
          <w:color w:val="000000" w:themeColor="text1"/>
          <w:szCs w:val="21"/>
          <w:u w:val="single"/>
          <w14:textFill>
            <w14:solidFill>
              <w14:schemeClr w14:val="tx1"/>
            </w14:solidFill>
          </w14:textFill>
        </w:rPr>
        <w:t xml:space="preserve">根据工程需要，提供和维修非夜间施工使用的照明、围拦设计；负责施工现场安全保护。  </w:t>
      </w:r>
    </w:p>
    <w:p w14:paraId="5D161CDA">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b、需承包人办理的有关施工场地交通、环卫和施工噪音管理等手续：</w:t>
      </w:r>
      <w:r>
        <w:rPr>
          <w:rFonts w:hint="eastAsia" w:ascii="宋体" w:hAnsi="宋体" w:eastAsia="宋体"/>
          <w:color w:val="000000" w:themeColor="text1"/>
          <w:szCs w:val="21"/>
          <w:u w:val="single"/>
          <w14:textFill>
            <w14:solidFill>
              <w14:schemeClr w14:val="tx1"/>
            </w14:solidFill>
          </w14:textFill>
        </w:rPr>
        <w:t xml:space="preserve"> 施工场地交通、道路硬化、环卫和施工噪音管理在开工前完成。 </w:t>
      </w:r>
    </w:p>
    <w:p w14:paraId="608A0550">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c、已完工程成品保护的特殊要求及费用承担：</w:t>
      </w:r>
      <w:r>
        <w:rPr>
          <w:rFonts w:hint="eastAsia" w:ascii="宋体" w:hAnsi="宋体" w:eastAsia="宋体"/>
          <w:color w:val="000000" w:themeColor="text1"/>
          <w:szCs w:val="21"/>
          <w:u w:val="single"/>
          <w14:textFill>
            <w14:solidFill>
              <w14:schemeClr w14:val="tx1"/>
            </w14:solidFill>
          </w14:textFill>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0D7ED661">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d、施工场地周围以下管线和邻近建筑物、构筑物（含文物保护建筑）、古树名木的保护要求及费用承担：</w:t>
      </w:r>
      <w:r>
        <w:rPr>
          <w:rFonts w:hint="eastAsia" w:ascii="宋体" w:hAnsi="宋体" w:eastAsia="宋体"/>
          <w:color w:val="000000" w:themeColor="text1"/>
          <w:szCs w:val="21"/>
          <w:u w:val="single"/>
          <w14:textFill>
            <w14:solidFill>
              <w14:schemeClr w14:val="tx1"/>
            </w14:solidFill>
          </w14:textFill>
        </w:rPr>
        <w:t>工程竣工移交前由承包人负责。由于施工方法不当造成损失、损坏发生的费用由承包方承担。</w:t>
      </w:r>
    </w:p>
    <w:p w14:paraId="4504F18B">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e、施工场地清洁卫生的要求：</w:t>
      </w:r>
      <w:r>
        <w:rPr>
          <w:rFonts w:hint="eastAsia" w:ascii="宋体" w:hAnsi="宋体" w:eastAsia="宋体"/>
          <w:color w:val="000000" w:themeColor="text1"/>
          <w:szCs w:val="21"/>
          <w:u w:val="single"/>
          <w14:textFill>
            <w14:solidFill>
              <w14:schemeClr w14:val="tx1"/>
            </w14:solidFill>
          </w14:textFill>
        </w:rPr>
        <w:t>参照省、市级文明工地要求并符合创卫标准，做到工完场清、构件、材料、设施分类堆放，做好标志、道路清洁、给排水畅通。</w:t>
      </w:r>
    </w:p>
    <w:p w14:paraId="61101E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f、双方约定承包人应做的其他工作：</w:t>
      </w:r>
      <w:r>
        <w:rPr>
          <w:rFonts w:hint="eastAsia" w:ascii="宋体" w:hAnsi="宋体" w:eastAsia="宋体"/>
          <w:color w:val="000000" w:themeColor="text1"/>
          <w:szCs w:val="21"/>
          <w:u w:val="single"/>
          <w14:textFill>
            <w14:solidFill>
              <w14:schemeClr w14:val="tx1"/>
            </w14:solidFill>
          </w14:textFill>
        </w:rPr>
        <w:t>主动与发包人配合共同办理施工许可证等有关手续的工作。按时足额支付农民工工资。</w:t>
      </w:r>
    </w:p>
    <w:p w14:paraId="781AAC2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3.2 项目经理</w:t>
      </w:r>
    </w:p>
    <w:p w14:paraId="7F7D9E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 xml:space="preserve">3.2.1 </w:t>
      </w:r>
      <w:r>
        <w:rPr>
          <w:rFonts w:ascii="宋体" w:hAnsi="宋体" w:eastAsia="宋体"/>
          <w:color w:val="000000" w:themeColor="text1"/>
          <w:szCs w:val="21"/>
          <w14:textFill>
            <w14:solidFill>
              <w14:schemeClr w14:val="tx1"/>
            </w14:solidFill>
          </w14:textFill>
        </w:rPr>
        <w:t>项目经理：</w:t>
      </w:r>
    </w:p>
    <w:p w14:paraId="15D932A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B8D4D6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身份证号：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6D4FA1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建造师执业资格等级：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DFA57A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建造师注册证书号：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A1C351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建造师执业印章号：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84E876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安全生产考核合格证书号：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C21B2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F1360C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7DB0C9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7930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承包人对项目经理的授权范围如下：</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施工现场的进度、安全、质量、费用等项目管理工作</w:t>
      </w:r>
      <w:r>
        <w:rPr>
          <w:rFonts w:ascii="宋体" w:hAnsi="宋体" w:eastAsia="宋体"/>
          <w:color w:val="000000" w:themeColor="text1"/>
          <w:szCs w:val="21"/>
          <w14:textFill>
            <w14:solidFill>
              <w14:schemeClr w14:val="tx1"/>
            </w14:solidFill>
          </w14:textFill>
        </w:rPr>
        <w:t>。</w:t>
      </w:r>
    </w:p>
    <w:p w14:paraId="28AE2C4E">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关于项目经理每月在施工现场的时间要求：</w:t>
      </w:r>
      <w:r>
        <w:rPr>
          <w:rFonts w:ascii="宋体" w:hAnsi="宋体" w:eastAsia="宋体"/>
          <w:color w:val="000000" w:themeColor="text1"/>
          <w:szCs w:val="21"/>
          <w:u w:val="single"/>
          <w14:textFill>
            <w14:solidFill>
              <w14:schemeClr w14:val="tx1"/>
            </w14:solidFill>
          </w14:textFill>
        </w:rPr>
        <w:t>项目经理</w:t>
      </w:r>
      <w:r>
        <w:rPr>
          <w:rFonts w:hint="eastAsia" w:ascii="宋体" w:hAnsi="宋体" w:eastAsia="宋体"/>
          <w:color w:val="000000" w:themeColor="text1"/>
          <w:szCs w:val="21"/>
          <w:u w:val="single"/>
          <w14:textFill>
            <w14:solidFill>
              <w14:schemeClr w14:val="tx1"/>
            </w14:solidFill>
          </w14:textFill>
        </w:rPr>
        <w:t>必须坚守工地</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每周在现场工作日不少于5天，每少一天罚款</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00元，</w:t>
      </w:r>
      <w:r>
        <w:rPr>
          <w:rFonts w:ascii="宋体" w:hAnsi="宋体" w:eastAsia="宋体"/>
          <w:color w:val="000000" w:themeColor="text1"/>
          <w:szCs w:val="21"/>
          <w:u w:val="single"/>
          <w14:textFill>
            <w14:solidFill>
              <w14:schemeClr w14:val="tx1"/>
            </w14:solidFill>
          </w14:textFill>
        </w:rPr>
        <w:t>外出</w:t>
      </w:r>
      <w:r>
        <w:rPr>
          <w:rFonts w:hint="eastAsia" w:ascii="宋体" w:hAnsi="宋体" w:eastAsia="宋体"/>
          <w:color w:val="000000" w:themeColor="text1"/>
          <w:szCs w:val="21"/>
          <w:u w:val="single"/>
          <w14:textFill>
            <w14:solidFill>
              <w14:schemeClr w14:val="tx1"/>
            </w14:solidFill>
          </w14:textFill>
        </w:rPr>
        <w:t>连续等于或超过三天以上时，</w:t>
      </w:r>
      <w:r>
        <w:rPr>
          <w:rFonts w:ascii="宋体" w:hAnsi="宋体" w:eastAsia="宋体"/>
          <w:color w:val="000000" w:themeColor="text1"/>
          <w:szCs w:val="21"/>
          <w:u w:val="single"/>
          <w14:textFill>
            <w14:solidFill>
              <w14:schemeClr w14:val="tx1"/>
            </w14:solidFill>
          </w14:textFill>
        </w:rPr>
        <w:t>必须</w:t>
      </w:r>
      <w:r>
        <w:rPr>
          <w:rFonts w:hint="eastAsia" w:ascii="宋体" w:hAnsi="宋体" w:eastAsia="宋体"/>
          <w:color w:val="000000" w:themeColor="text1"/>
          <w:szCs w:val="21"/>
          <w:u w:val="single"/>
          <w14:textFill>
            <w14:solidFill>
              <w14:schemeClr w14:val="tx1"/>
            </w14:solidFill>
          </w14:textFill>
        </w:rPr>
        <w:t>事先</w:t>
      </w:r>
      <w:r>
        <w:rPr>
          <w:rFonts w:ascii="宋体" w:hAnsi="宋体" w:eastAsia="宋体"/>
          <w:color w:val="000000" w:themeColor="text1"/>
          <w:szCs w:val="21"/>
          <w:u w:val="single"/>
          <w14:textFill>
            <w14:solidFill>
              <w14:schemeClr w14:val="tx1"/>
            </w14:solidFill>
          </w14:textFill>
        </w:rPr>
        <w:t>取得</w:t>
      </w:r>
      <w:r>
        <w:rPr>
          <w:rFonts w:hint="eastAsia" w:ascii="宋体" w:hAnsi="宋体" w:eastAsia="宋体"/>
          <w:color w:val="000000" w:themeColor="text1"/>
          <w:szCs w:val="21"/>
          <w:u w:val="single"/>
          <w14:textFill>
            <w14:solidFill>
              <w14:schemeClr w14:val="tx1"/>
            </w14:solidFill>
          </w14:textFill>
        </w:rPr>
        <w:t>总</w:t>
      </w:r>
      <w:r>
        <w:rPr>
          <w:rFonts w:ascii="宋体" w:hAnsi="宋体" w:eastAsia="宋体"/>
          <w:color w:val="000000" w:themeColor="text1"/>
          <w:szCs w:val="21"/>
          <w:u w:val="single"/>
          <w14:textFill>
            <w14:solidFill>
              <w14:schemeClr w14:val="tx1"/>
            </w14:solidFill>
          </w14:textFill>
        </w:rPr>
        <w:t>监理</w:t>
      </w:r>
      <w:r>
        <w:rPr>
          <w:rFonts w:hint="eastAsia" w:ascii="宋体" w:hAnsi="宋体" w:eastAsia="宋体"/>
          <w:color w:val="000000" w:themeColor="text1"/>
          <w:szCs w:val="21"/>
          <w:u w:val="single"/>
          <w14:textFill>
            <w14:solidFill>
              <w14:schemeClr w14:val="tx1"/>
            </w14:solidFill>
          </w14:textFill>
        </w:rPr>
        <w:t>工程师</w:t>
      </w:r>
      <w:r>
        <w:rPr>
          <w:rFonts w:ascii="宋体" w:hAnsi="宋体" w:eastAsia="宋体"/>
          <w:color w:val="000000" w:themeColor="text1"/>
          <w:szCs w:val="21"/>
          <w:u w:val="single"/>
          <w14:textFill>
            <w14:solidFill>
              <w14:schemeClr w14:val="tx1"/>
            </w14:solidFill>
          </w14:textFill>
        </w:rPr>
        <w:t>和发包人的许可</w:t>
      </w:r>
      <w:r>
        <w:rPr>
          <w:rFonts w:hint="eastAsia" w:ascii="宋体" w:hAnsi="宋体" w:eastAsia="宋体"/>
          <w:color w:val="000000" w:themeColor="text1"/>
          <w:szCs w:val="21"/>
          <w:u w:val="single"/>
          <w14:textFill>
            <w14:solidFill>
              <w14:schemeClr w14:val="tx1"/>
            </w14:solidFill>
          </w14:textFill>
        </w:rPr>
        <w:t>。</w:t>
      </w:r>
    </w:p>
    <w:p w14:paraId="7CC38466">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承包人未提交劳动合同，以及没有为项目经理缴纳社会保险证明的违约责任：</w:t>
      </w:r>
      <w:r>
        <w:rPr>
          <w:rFonts w:hint="eastAsia" w:ascii="宋体" w:hAnsi="宋体" w:eastAsia="宋体"/>
          <w:color w:val="000000" w:themeColor="text1"/>
          <w:szCs w:val="21"/>
          <w:u w:val="single"/>
          <w14:textFill>
            <w14:solidFill>
              <w14:schemeClr w14:val="tx1"/>
            </w14:solidFill>
          </w14:textFill>
        </w:rPr>
        <w:t>由承包人自行承担。</w:t>
      </w:r>
    </w:p>
    <w:p w14:paraId="008C710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项目经理未经批准，擅自离开施工现场的违约责任：</w:t>
      </w:r>
      <w:r>
        <w:rPr>
          <w:rFonts w:hint="eastAsia" w:ascii="宋体" w:hAnsi="宋体" w:eastAsia="宋体"/>
          <w:color w:val="000000" w:themeColor="text1"/>
          <w:szCs w:val="21"/>
          <w:u w:val="single"/>
          <w14:textFill>
            <w14:solidFill>
              <w14:schemeClr w14:val="tx1"/>
            </w14:solidFill>
          </w14:textFill>
        </w:rPr>
        <w:t>发包人有权按照</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00元</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天进行处罚。</w:t>
      </w:r>
    </w:p>
    <w:p w14:paraId="1F5272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3.2.3 承包人擅自更换项目经理的违约责任：</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CF6C0C5">
      <w:pPr>
        <w:spacing w:line="400" w:lineRule="exac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    3.2.4 承包人无正当理由拒绝更换项目经理的违约责任：</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1C2DA8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3.3 承包人人员</w:t>
      </w:r>
    </w:p>
    <w:p w14:paraId="345EB1A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3.3.1 承包人提交项目管理机构及施工现场管理人员安排报告的期限：</w:t>
      </w:r>
      <w:r>
        <w:rPr>
          <w:rFonts w:hint="eastAsia" w:ascii="宋体" w:hAnsi="宋体" w:eastAsia="宋体"/>
          <w:color w:val="000000" w:themeColor="text1"/>
          <w:szCs w:val="21"/>
          <w:u w:val="single"/>
          <w14:textFill>
            <w14:solidFill>
              <w14:schemeClr w14:val="tx1"/>
            </w14:solidFill>
          </w14:textFill>
        </w:rPr>
        <w:t>合同签订后7日内</w:t>
      </w:r>
      <w:r>
        <w:rPr>
          <w:rFonts w:ascii="宋体" w:hAnsi="宋体" w:eastAsia="宋体"/>
          <w:color w:val="000000" w:themeColor="text1"/>
          <w:szCs w:val="21"/>
          <w14:textFill>
            <w14:solidFill>
              <w14:schemeClr w14:val="tx1"/>
            </w14:solidFill>
          </w14:textFill>
        </w:rPr>
        <w:t>。</w:t>
      </w:r>
    </w:p>
    <w:p w14:paraId="2471E9D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3.3.2 承包人主要施工管理人员离开施工现场的批准要求：</w:t>
      </w:r>
      <w:r>
        <w:rPr>
          <w:rFonts w:ascii="宋体" w:hAnsi="宋体" w:eastAsia="宋体"/>
          <w:color w:val="000000" w:themeColor="text1"/>
          <w:szCs w:val="21"/>
          <w:u w:val="single"/>
          <w14:textFill>
            <w14:solidFill>
              <w14:schemeClr w14:val="tx1"/>
            </w14:solidFill>
          </w14:textFill>
        </w:rPr>
        <w:t>必须</w:t>
      </w:r>
      <w:r>
        <w:rPr>
          <w:rFonts w:hint="eastAsia" w:ascii="宋体" w:hAnsi="宋体" w:eastAsia="宋体"/>
          <w:color w:val="000000" w:themeColor="text1"/>
          <w:szCs w:val="21"/>
          <w:u w:val="single"/>
          <w14:textFill>
            <w14:solidFill>
              <w14:schemeClr w14:val="tx1"/>
            </w14:solidFill>
          </w14:textFill>
        </w:rPr>
        <w:t>事先</w:t>
      </w:r>
      <w:r>
        <w:rPr>
          <w:rFonts w:ascii="宋体" w:hAnsi="宋体" w:eastAsia="宋体"/>
          <w:color w:val="000000" w:themeColor="text1"/>
          <w:szCs w:val="21"/>
          <w:u w:val="single"/>
          <w14:textFill>
            <w14:solidFill>
              <w14:schemeClr w14:val="tx1"/>
            </w14:solidFill>
          </w14:textFill>
        </w:rPr>
        <w:t>取得</w:t>
      </w:r>
      <w:r>
        <w:rPr>
          <w:rFonts w:hint="eastAsia" w:ascii="宋体" w:hAnsi="宋体" w:eastAsia="宋体"/>
          <w:color w:val="000000" w:themeColor="text1"/>
          <w:szCs w:val="21"/>
          <w:u w:val="single"/>
          <w14:textFill>
            <w14:solidFill>
              <w14:schemeClr w14:val="tx1"/>
            </w14:solidFill>
          </w14:textFill>
        </w:rPr>
        <w:t>总监理工程师和</w:t>
      </w:r>
      <w:r>
        <w:rPr>
          <w:rFonts w:ascii="宋体" w:hAnsi="宋体" w:eastAsia="宋体"/>
          <w:color w:val="000000" w:themeColor="text1"/>
          <w:szCs w:val="21"/>
          <w:u w:val="single"/>
          <w14:textFill>
            <w14:solidFill>
              <w14:schemeClr w14:val="tx1"/>
            </w14:solidFill>
          </w14:textFill>
        </w:rPr>
        <w:t>发包人的许可</w:t>
      </w:r>
      <w:r>
        <w:rPr>
          <w:rFonts w:ascii="宋体" w:hAnsi="宋体" w:eastAsia="宋体"/>
          <w:color w:val="000000" w:themeColor="text1"/>
          <w:szCs w:val="21"/>
          <w14:textFill>
            <w14:solidFill>
              <w14:schemeClr w14:val="tx1"/>
            </w14:solidFill>
          </w14:textFill>
        </w:rPr>
        <w:t>。</w:t>
      </w:r>
    </w:p>
    <w:p w14:paraId="72DD398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w:t>
      </w:r>
      <w:bookmarkStart w:id="57" w:name="_Toc304295523"/>
      <w:bookmarkStart w:id="58" w:name="_Toc296346660"/>
      <w:bookmarkStart w:id="59" w:name="_Toc303539102"/>
      <w:bookmarkStart w:id="60" w:name="_Toc296347158"/>
      <w:bookmarkStart w:id="61" w:name="_Toc312677988"/>
      <w:bookmarkStart w:id="62" w:name="_Toc296891199"/>
      <w:bookmarkStart w:id="63" w:name="_Toc296503159"/>
      <w:bookmarkStart w:id="64" w:name="_Toc300934945"/>
      <w:bookmarkStart w:id="65" w:name="_Toc297048345"/>
      <w:bookmarkStart w:id="66" w:name="_Toc292559364"/>
      <w:bookmarkStart w:id="67" w:name="_Toc296890987"/>
      <w:bookmarkStart w:id="68" w:name="_Toc297123492"/>
      <w:bookmarkStart w:id="69" w:name="_Toc297120459"/>
      <w:bookmarkStart w:id="70" w:name="_Toc292559869"/>
      <w:bookmarkStart w:id="71" w:name="_Toc297216151"/>
      <w:bookmarkStart w:id="72" w:name="_Toc296944498"/>
      <w:r>
        <w:rPr>
          <w:rFonts w:ascii="宋体" w:hAnsi="宋体" w:eastAsia="宋体"/>
          <w:color w:val="000000" w:themeColor="text1"/>
          <w:szCs w:val="21"/>
          <w14:textFill>
            <w14:solidFill>
              <w14:schemeClr w14:val="tx1"/>
            </w14:solidFill>
          </w14:textFill>
        </w:rPr>
        <w:t>.5 分包</w:t>
      </w:r>
    </w:p>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14:paraId="267B497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w:t>
      </w:r>
      <w:bookmarkStart w:id="73" w:name="_Toc297123493"/>
      <w:bookmarkStart w:id="74" w:name="_Toc296891200"/>
      <w:bookmarkStart w:id="75" w:name="_Toc312677989"/>
      <w:bookmarkStart w:id="76" w:name="_Toc304295524"/>
      <w:bookmarkStart w:id="77" w:name="_Toc296944499"/>
      <w:bookmarkStart w:id="78" w:name="_Toc300934946"/>
      <w:bookmarkStart w:id="79" w:name="_Toc297048346"/>
      <w:bookmarkStart w:id="80" w:name="_Toc292559365"/>
      <w:bookmarkStart w:id="81" w:name="_Toc296346661"/>
      <w:bookmarkStart w:id="82" w:name="_Toc318581158"/>
      <w:bookmarkStart w:id="83" w:name="_Toc296347159"/>
      <w:bookmarkStart w:id="84" w:name="_Toc292559870"/>
      <w:bookmarkStart w:id="85" w:name="_Toc303539103"/>
      <w:bookmarkStart w:id="86" w:name="_Toc296503160"/>
      <w:bookmarkStart w:id="87" w:name="_Toc297120460"/>
      <w:bookmarkStart w:id="88" w:name="_Toc297216152"/>
      <w:bookmarkStart w:id="89" w:name="_Toc296890988"/>
      <w:r>
        <w:rPr>
          <w:rFonts w:ascii="宋体" w:hAnsi="宋体" w:eastAsia="宋体"/>
          <w:color w:val="000000" w:themeColor="text1"/>
          <w:szCs w:val="21"/>
          <w14:textFill>
            <w14:solidFill>
              <w14:schemeClr w14:val="tx1"/>
            </w14:solidFill>
          </w14:textFill>
        </w:rPr>
        <w:t>.5.1 分包的一般约定</w:t>
      </w:r>
    </w:p>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14:paraId="77ADEE4A">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u w:val="single"/>
          <w14:textFill>
            <w14:solidFill>
              <w14:schemeClr w14:val="tx1"/>
            </w14:solidFill>
          </w14:textFill>
        </w:rPr>
        <w:t>承包人不得将其承包的全部工程转包给第三人，或将其承包的全部工程肢解后以分包的名义转包给第三人</w:t>
      </w:r>
      <w:r>
        <w:rPr>
          <w:rFonts w:ascii="宋体" w:hAnsi="宋体" w:eastAsia="宋体"/>
          <w:color w:val="000000" w:themeColor="text1"/>
          <w:szCs w:val="21"/>
          <w14:textFill>
            <w14:solidFill>
              <w14:schemeClr w14:val="tx1"/>
            </w14:solidFill>
          </w14:textFill>
        </w:rPr>
        <w:t>。</w:t>
      </w:r>
      <w:bookmarkStart w:id="90" w:name="_Toc297120461"/>
      <w:bookmarkStart w:id="91" w:name="_Toc296503161"/>
      <w:bookmarkStart w:id="92" w:name="_Toc296944500"/>
      <w:bookmarkStart w:id="93" w:name="_Toc296347160"/>
      <w:bookmarkStart w:id="94" w:name="_Toc297123494"/>
      <w:bookmarkStart w:id="95" w:name="_Toc304295525"/>
      <w:bookmarkStart w:id="96" w:name="_Toc300934947"/>
      <w:bookmarkStart w:id="97" w:name="_Toc296890989"/>
      <w:bookmarkStart w:id="98" w:name="_Toc297048347"/>
      <w:bookmarkStart w:id="99" w:name="_Toc303539104"/>
      <w:bookmarkStart w:id="100" w:name="_Toc297216153"/>
      <w:bookmarkStart w:id="101" w:name="_Toc296346662"/>
      <w:bookmarkStart w:id="102" w:name="_Toc296891201"/>
    </w:p>
    <w:bookmarkEnd w:id="90"/>
    <w:bookmarkEnd w:id="91"/>
    <w:bookmarkEnd w:id="92"/>
    <w:bookmarkEnd w:id="93"/>
    <w:bookmarkEnd w:id="94"/>
    <w:bookmarkEnd w:id="95"/>
    <w:bookmarkEnd w:id="96"/>
    <w:bookmarkEnd w:id="97"/>
    <w:bookmarkEnd w:id="98"/>
    <w:bookmarkEnd w:id="99"/>
    <w:bookmarkEnd w:id="100"/>
    <w:bookmarkEnd w:id="101"/>
    <w:bookmarkEnd w:id="102"/>
    <w:p w14:paraId="737A976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3.6 工程照管与成品、半成品保护</w:t>
      </w:r>
    </w:p>
    <w:p w14:paraId="2592E639">
      <w:pPr>
        <w:spacing w:line="400" w:lineRule="exact"/>
        <w:ind w:firstLine="420" w:firstLineChars="200"/>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承包人负责照管工程及工程相关的材料、工程设备的起始时间：</w:t>
      </w:r>
      <w:r>
        <w:rPr>
          <w:rFonts w:ascii="宋体" w:hAnsi="宋体" w:eastAsia="宋体"/>
          <w:color w:val="000000" w:themeColor="text1"/>
          <w:kern w:val="0"/>
          <w:szCs w:val="21"/>
          <w:u w:val="single"/>
          <w14:textFill>
            <w14:solidFill>
              <w14:schemeClr w14:val="tx1"/>
            </w14:solidFill>
          </w14:textFill>
        </w:rPr>
        <w:t>项目正式开工至项目移交</w:t>
      </w:r>
      <w:r>
        <w:rPr>
          <w:rFonts w:hint="eastAsia" w:ascii="宋体" w:hAnsi="宋体" w:eastAsia="宋体"/>
          <w:color w:val="000000" w:themeColor="text1"/>
          <w:kern w:val="0"/>
          <w:szCs w:val="21"/>
          <w:u w:val="single"/>
          <w14:textFill>
            <w14:solidFill>
              <w14:schemeClr w14:val="tx1"/>
            </w14:solidFill>
          </w14:textFill>
        </w:rPr>
        <w:t>竣工验收并交付使用</w:t>
      </w:r>
      <w:r>
        <w:rPr>
          <w:rFonts w:ascii="宋体" w:hAnsi="宋体" w:eastAsia="宋体"/>
          <w:color w:val="000000" w:themeColor="text1"/>
          <w:kern w:val="0"/>
          <w:szCs w:val="21"/>
          <w14:textFill>
            <w14:solidFill>
              <w14:schemeClr w14:val="tx1"/>
            </w14:solidFill>
          </w14:textFill>
        </w:rPr>
        <w:t>。</w:t>
      </w:r>
    </w:p>
    <w:p w14:paraId="26AD9EC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3.7 履约担保</w:t>
      </w:r>
    </w:p>
    <w:p w14:paraId="5F1CEB4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承包人是否提供履约担保：</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否</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A137D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承包人提供履约担保的形式</w:t>
      </w:r>
      <w:r>
        <w:rPr>
          <w:rFonts w:hint="eastAsia" w:ascii="宋体" w:hAnsi="宋体" w:eastAsia="宋体"/>
          <w:color w:val="000000" w:themeColor="text1"/>
          <w:szCs w:val="21"/>
          <w14:textFill>
            <w14:solidFill>
              <w14:schemeClr w14:val="tx1"/>
            </w14:solidFill>
          </w14:textFill>
        </w:rPr>
        <w:t>、金额及期限的</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否    </w:t>
      </w:r>
      <w:r>
        <w:rPr>
          <w:rFonts w:ascii="宋体" w:hAnsi="宋体" w:eastAsia="宋体"/>
          <w:color w:val="000000" w:themeColor="text1"/>
          <w:szCs w:val="21"/>
          <w14:textFill>
            <w14:solidFill>
              <w14:schemeClr w14:val="tx1"/>
            </w14:solidFill>
          </w14:textFill>
        </w:rPr>
        <w:t>。</w:t>
      </w:r>
    </w:p>
    <w:p w14:paraId="275614AD">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03" w:name="_Toc351203636"/>
      <w:r>
        <w:rPr>
          <w:rFonts w:hint="eastAsia" w:ascii="宋体" w:hAnsi="宋体" w:cs="黑体"/>
          <w:color w:val="000000" w:themeColor="text1"/>
          <w14:textFill>
            <w14:solidFill>
              <w14:schemeClr w14:val="tx1"/>
            </w14:solidFill>
          </w14:textFill>
        </w:rPr>
        <w:t>4</w:t>
      </w:r>
      <w:bookmarkStart w:id="104" w:name="_Toc297048348"/>
      <w:bookmarkStart w:id="105" w:name="_Toc296347161"/>
      <w:bookmarkStart w:id="106" w:name="_Toc296503162"/>
      <w:bookmarkStart w:id="107" w:name="_Toc292559871"/>
      <w:bookmarkStart w:id="108" w:name="_Toc296891202"/>
      <w:bookmarkStart w:id="109" w:name="_Toc296346663"/>
      <w:bookmarkStart w:id="110" w:name="_Toc296944501"/>
      <w:bookmarkStart w:id="111" w:name="_Toc267251413"/>
      <w:bookmarkStart w:id="112" w:name="_Toc296890990"/>
      <w:bookmarkStart w:id="113" w:name="_Toc297120462"/>
      <w:bookmarkStart w:id="114" w:name="_Toc292559366"/>
      <w:r>
        <w:rPr>
          <w:rFonts w:hint="eastAsia" w:ascii="宋体" w:hAnsi="宋体" w:cs="黑体"/>
          <w:color w:val="000000" w:themeColor="text1"/>
          <w14:textFill>
            <w14:solidFill>
              <w14:schemeClr w14:val="tx1"/>
            </w14:solidFill>
          </w14:textFill>
        </w:rPr>
        <w:t>. 监</w:t>
      </w:r>
      <w:bookmarkEnd w:id="104"/>
      <w:bookmarkEnd w:id="105"/>
      <w:bookmarkEnd w:id="106"/>
      <w:bookmarkEnd w:id="107"/>
      <w:bookmarkEnd w:id="108"/>
      <w:bookmarkEnd w:id="109"/>
      <w:bookmarkEnd w:id="110"/>
      <w:bookmarkEnd w:id="111"/>
      <w:bookmarkEnd w:id="112"/>
      <w:bookmarkEnd w:id="113"/>
      <w:bookmarkEnd w:id="114"/>
      <w:r>
        <w:rPr>
          <w:rFonts w:hint="eastAsia" w:ascii="宋体" w:hAnsi="宋体" w:cs="黑体"/>
          <w:color w:val="000000" w:themeColor="text1"/>
          <w14:textFill>
            <w14:solidFill>
              <w14:schemeClr w14:val="tx1"/>
            </w14:solidFill>
          </w14:textFill>
        </w:rPr>
        <w:t>理人</w:t>
      </w:r>
      <w:bookmarkEnd w:id="103"/>
    </w:p>
    <w:p w14:paraId="34456E7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4.1监理人的一般规定</w:t>
      </w:r>
    </w:p>
    <w:p w14:paraId="7F409D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关于监理人的监理内容：</w:t>
      </w:r>
      <w:r>
        <w:rPr>
          <w:rFonts w:hint="eastAsia" w:ascii="宋体" w:hAnsi="宋体" w:eastAsia="宋体"/>
          <w:color w:val="000000" w:themeColor="text1"/>
          <w:szCs w:val="21"/>
          <w:u w:val="single"/>
          <w14:textFill>
            <w14:solidFill>
              <w14:schemeClr w14:val="tx1"/>
            </w14:solidFill>
          </w14:textFill>
        </w:rPr>
        <w:t>执行发包人与监理人监理合同条款约定</w:t>
      </w:r>
      <w:r>
        <w:rPr>
          <w:rFonts w:ascii="宋体" w:hAnsi="宋体" w:eastAsia="宋体"/>
          <w:color w:val="000000" w:themeColor="text1"/>
          <w:szCs w:val="21"/>
          <w14:textFill>
            <w14:solidFill>
              <w14:schemeClr w14:val="tx1"/>
            </w14:solidFill>
          </w14:textFill>
        </w:rPr>
        <w:t>。</w:t>
      </w:r>
    </w:p>
    <w:p w14:paraId="284A4C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关于监理人的监理权限：</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1</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施工过程的质量、进度控制、合同管理和信息管理，施工中各种矛盾组织协调工作及全程监理。</w:t>
      </w:r>
    </w:p>
    <w:p w14:paraId="79A26B5E">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2</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对工程建设有关事项包括工程规模、设计标准、规划设计、生产工艺设计和实用功能要求，向委托人的建议权。</w:t>
      </w:r>
    </w:p>
    <w:p w14:paraId="4AE3CA65">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3</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7C86E067">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4</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审批工程施工组织设计和技术方案，按照保质量、保工期和降低成本的原则，向承包人提出建议，并向发包人提出书面报告。</w:t>
      </w:r>
    </w:p>
    <w:p w14:paraId="39D5312F">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5</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主持工程建设有关协作单位的组织协调，重要协调事项应当事先向发包人报告。</w:t>
      </w:r>
    </w:p>
    <w:p w14:paraId="22FE865F">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6</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征得发包人同意，监理人有权发布开工令、停工令、复工令，但应当事先向发包人报告并取得发包人同意方可，如在紧急情况下未能实现报告时，则应在</w:t>
      </w:r>
      <w:r>
        <w:rPr>
          <w:rFonts w:ascii="宋体" w:hAnsi="宋体" w:eastAsia="宋体"/>
          <w:color w:val="000000" w:themeColor="text1"/>
          <w:szCs w:val="21"/>
          <w:u w:val="single"/>
          <w14:textFill>
            <w14:solidFill>
              <w14:schemeClr w14:val="tx1"/>
            </w14:solidFill>
          </w14:textFill>
        </w:rPr>
        <w:t>24</w:t>
      </w:r>
      <w:r>
        <w:rPr>
          <w:rFonts w:hint="eastAsia" w:ascii="宋体" w:hAnsi="宋体" w:eastAsia="宋体"/>
          <w:color w:val="000000" w:themeColor="text1"/>
          <w:szCs w:val="21"/>
          <w:u w:val="single"/>
          <w14:textFill>
            <w14:solidFill>
              <w14:schemeClr w14:val="tx1"/>
            </w14:solidFill>
          </w14:textFill>
        </w:rPr>
        <w:t>小时内向发包人作出书面报告。</w:t>
      </w:r>
    </w:p>
    <w:p w14:paraId="70E0681A">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7</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5D5D8E29">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8</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工程施工进度的检查、监督权、以及公司实际竣工日期提前或超过工程施工合同规定的竣工期限的签认权。</w:t>
      </w:r>
    </w:p>
    <w:p w14:paraId="6666DA9D">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9</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在工程施工合同约定的工程价格范围内，工程款支付的审核和签认权，以及工程结算的复核确认权与否决权。</w:t>
      </w:r>
    </w:p>
    <w:p w14:paraId="6B29241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需要取得发包人批准才能行使的职权：</w:t>
      </w:r>
      <w:r>
        <w:rPr>
          <w:rFonts w:hint="eastAsia" w:ascii="宋体" w:hAnsi="宋体" w:eastAsia="宋体"/>
          <w:color w:val="000000" w:themeColor="text1"/>
          <w:szCs w:val="21"/>
          <w:u w:val="single"/>
          <w14:textFill>
            <w14:solidFill>
              <w14:schemeClr w14:val="tx1"/>
            </w14:solidFill>
          </w14:textFill>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0C73721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关于监理人在施工现场的办公场所、生活场所的提供和费用承担的约定：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由承包人提供办公场所、生活场所，满足发包人及监理人的要求，并承担相应费用以及水电费</w:t>
      </w:r>
      <w:r>
        <w:rPr>
          <w:rFonts w:ascii="宋体" w:hAnsi="宋体" w:eastAsia="宋体"/>
          <w:color w:val="000000" w:themeColor="text1"/>
          <w:szCs w:val="21"/>
          <w14:textFill>
            <w14:solidFill>
              <w14:schemeClr w14:val="tx1"/>
            </w14:solidFill>
          </w14:textFill>
        </w:rPr>
        <w:t>。</w:t>
      </w:r>
    </w:p>
    <w:p w14:paraId="7C1912A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4.2 监理人员</w:t>
      </w:r>
    </w:p>
    <w:p w14:paraId="2C9CBDA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总监理工程师：</w:t>
      </w:r>
    </w:p>
    <w:p w14:paraId="4E303AA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0A46FE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职    务：</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625033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监理工程师执业资格证书号：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00758A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11E313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A4BD3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69EA3D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关于监理人的其他约定：</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0477D0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4.4 商定或确定</w:t>
      </w:r>
    </w:p>
    <w:p w14:paraId="0B37E34F">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115" w:name="_Toc267251418"/>
      <w:r>
        <w:rPr>
          <w:rFonts w:ascii="宋体" w:hAnsi="宋体" w:eastAsia="宋体"/>
          <w:color w:val="000000" w:themeColor="text1"/>
          <w:szCs w:val="21"/>
          <w14:textFill>
            <w14:solidFill>
              <w14:schemeClr w14:val="tx1"/>
            </w14:solidFill>
          </w14:textFill>
        </w:rPr>
        <w:t>在发包人和承包人不能通过协商达成一致意见时，发包人授权监理人对以下事项进行确定：</w:t>
      </w:r>
    </w:p>
    <w:p w14:paraId="02D345ED">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C3E5DCD">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C951C0">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06396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16" w:name="_Toc351203637"/>
      <w:r>
        <w:rPr>
          <w:rFonts w:hint="eastAsia" w:ascii="宋体" w:hAnsi="宋体" w:cs="黑体"/>
          <w:color w:val="000000" w:themeColor="text1"/>
          <w14:textFill>
            <w14:solidFill>
              <w14:schemeClr w14:val="tx1"/>
            </w14:solidFill>
          </w14:textFill>
        </w:rPr>
        <w:t>5</w:t>
      </w:r>
      <w:bookmarkEnd w:id="115"/>
      <w:bookmarkStart w:id="117" w:name="_Toc296503163"/>
      <w:bookmarkStart w:id="118" w:name="_Toc297048349"/>
      <w:bookmarkStart w:id="119" w:name="_Toc296890991"/>
      <w:bookmarkStart w:id="120" w:name="_Toc296347162"/>
      <w:bookmarkStart w:id="121" w:name="_Toc296944502"/>
      <w:bookmarkStart w:id="122" w:name="_Toc296891203"/>
      <w:bookmarkStart w:id="123" w:name="_Toc296346664"/>
      <w:bookmarkStart w:id="124" w:name="_Toc292559872"/>
      <w:bookmarkStart w:id="125" w:name="_Toc297120463"/>
      <w:bookmarkStart w:id="126" w:name="_Toc292559367"/>
      <w:r>
        <w:rPr>
          <w:rFonts w:hint="eastAsia" w:ascii="宋体" w:hAnsi="宋体" w:cs="黑体"/>
          <w:color w:val="000000" w:themeColor="text1"/>
          <w14:textFill>
            <w14:solidFill>
              <w14:schemeClr w14:val="tx1"/>
            </w14:solidFill>
          </w14:textFill>
        </w:rPr>
        <w:t>. 工程质量</w:t>
      </w:r>
      <w:bookmarkEnd w:id="116"/>
    </w:p>
    <w:p w14:paraId="7910EB8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5.1 质量要求</w:t>
      </w:r>
    </w:p>
    <w:p w14:paraId="65231216">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27" w:name="_Toc297216155"/>
      <w:bookmarkStart w:id="128" w:name="_Toc304295527"/>
      <w:bookmarkStart w:id="129" w:name="_Toc303539106"/>
      <w:bookmarkStart w:id="130" w:name="_Toc312677997"/>
      <w:bookmarkStart w:id="131" w:name="_Toc297123496"/>
      <w:bookmarkStart w:id="132" w:name="_Toc300934949"/>
      <w:bookmarkStart w:id="133" w:name="_Toc318581164"/>
      <w:r>
        <w:rPr>
          <w:rFonts w:ascii="宋体" w:hAnsi="宋体" w:eastAsia="宋体"/>
          <w:color w:val="000000" w:themeColor="text1"/>
          <w:szCs w:val="21"/>
          <w14:textFill>
            <w14:solidFill>
              <w14:schemeClr w14:val="tx1"/>
            </w14:solidFill>
          </w14:textFill>
        </w:rPr>
        <w:t>5.1.1 特殊质量标准和要求：</w:t>
      </w:r>
      <w:r>
        <w:rPr>
          <w:rFonts w:hint="eastAsia" w:ascii="宋体" w:hAnsi="宋体" w:eastAsia="宋体"/>
          <w:color w:val="000000" w:themeColor="text1"/>
          <w:szCs w:val="21"/>
          <w:u w:val="single"/>
          <w14:textFill>
            <w14:solidFill>
              <w14:schemeClr w14:val="tx1"/>
            </w14:solidFill>
          </w14:textFill>
        </w:rPr>
        <w:t>达到国家现行施工验收规范“合格”标准。</w:t>
      </w:r>
    </w:p>
    <w:p w14:paraId="65BE78C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关于工程奖项的约定：</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14:textFill>
            <w14:solidFill>
              <w14:schemeClr w14:val="tx1"/>
            </w14:solidFill>
          </w14:textFill>
        </w:rPr>
        <w:t>。</w:t>
      </w:r>
    </w:p>
    <w:p w14:paraId="76B9EE0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5.3 隐蔽工程检查</w:t>
      </w:r>
    </w:p>
    <w:p w14:paraId="6A0FE88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5.3.2承包人提前通知监理人隐蔽工程检查的期限的约定：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A89813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监理人不能按时进行检查时，应提前</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24</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小时提交书面延期要求。</w:t>
      </w:r>
    </w:p>
    <w:p w14:paraId="62E4338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关于延期最长不得超过：</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48</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w:t>
      </w:r>
    </w:p>
    <w:p w14:paraId="097C51D8">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34" w:name="_Toc351203638"/>
      <w:r>
        <w:rPr>
          <w:rFonts w:hint="eastAsia" w:ascii="宋体" w:hAnsi="宋体" w:cs="黑体"/>
          <w:color w:val="000000" w:themeColor="text1"/>
          <w14:textFill>
            <w14:solidFill>
              <w14:schemeClr w14:val="tx1"/>
            </w14:solidFill>
          </w14:textFill>
        </w:rPr>
        <w:t>6. 安全文明施工与环境保护</w:t>
      </w:r>
      <w:bookmarkEnd w:id="134"/>
    </w:p>
    <w:p w14:paraId="6EC59A5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6.1安全文明施工</w:t>
      </w:r>
    </w:p>
    <w:p w14:paraId="4106019D">
      <w:pPr>
        <w:pStyle w:val="23"/>
        <w:snapToGrid w:val="0"/>
        <w:spacing w:line="400" w:lineRule="exact"/>
        <w:ind w:firstLine="420" w:firstLineChars="200"/>
        <w:rPr>
          <w:rFonts w:hAnsi="宋体"/>
          <w:color w:val="000000" w:themeColor="text1"/>
          <w:u w:val="single"/>
          <w14:textFill>
            <w14:solidFill>
              <w14:schemeClr w14:val="tx1"/>
            </w14:solidFill>
          </w14:textFill>
        </w:rPr>
      </w:pPr>
      <w:r>
        <w:rPr>
          <w:rFonts w:hAnsi="宋体"/>
          <w:color w:val="000000" w:themeColor="text1"/>
          <w14:textFill>
            <w14:solidFill>
              <w14:schemeClr w14:val="tx1"/>
            </w14:solidFill>
          </w14:textFill>
        </w:rPr>
        <w:t>6.1.1 项目安全生产的达标目标及相应事项的约定：</w:t>
      </w:r>
      <w:r>
        <w:rPr>
          <w:rFonts w:hAnsi="宋体"/>
          <w:color w:val="000000" w:themeColor="text1"/>
          <w:u w:val="single"/>
          <w14:textFill>
            <w14:solidFill>
              <w14:schemeClr w14:val="tx1"/>
            </w14:solidFill>
          </w14:textFill>
        </w:rPr>
        <w:t>执行《通用条款》全部条款和国家、省、市关于安全文明施工的要求规定和创卫标准，因承包方原因达不到安全文明施工的要求规定和创卫标准时，承包人应切实整改达到此要求，所需费用均由承包人承担。本工程严格按照安全防护和文明施工的规定组织施工，并做好下列工作：在施工出入口处、临时用电设施、脚手架、出入通道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14:paraId="289C3274">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3544673C">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（1）建立与工程规模相适应的、以项目经理为第一责任人的施工现场安全文明生产管理机构，配备相应监管人员，赋予监管权力，确保对施工现场安全文明生产实施有效管理。</w:t>
      </w:r>
    </w:p>
    <w:p w14:paraId="025CE4B0">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（2）施工现场实行封闭式管理，保证安全文明生产经费的投入。安全文明生产设施、设备按标准设置，配套齐备，牢固可靠。</w:t>
      </w:r>
    </w:p>
    <w:p w14:paraId="35B902C2">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（3）强化安全文明生产教育培训，严格实行三级安全教育制度，做到全员持证上岗。在日常监管和各级检查的基础上，严格执行汇检制度，发现隐患立即进行整改，不留死角。</w:t>
      </w:r>
    </w:p>
    <w:p w14:paraId="1E5B47B1">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（4）施工现场使用的建筑材料、构配件、安全防护用品、安全设施、机具、机械设备和电气装置等，必须符合建筑施工安全和其他有关技术规范、标准的要求，并按规定进行检测检验。否则，一律不投入使用。</w:t>
      </w:r>
    </w:p>
    <w:p w14:paraId="7CA7E568">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（5）现场运入运出各类建筑材料必须使用密封车辆运输，加强路面保洁，规范沙石料堆场，不定时洒水控制扬尘。</w:t>
      </w:r>
    </w:p>
    <w:p w14:paraId="71F97FC0">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6ECEE3DE">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（7）保证施工现场及周围人居环境良好，施工区、办公区、生活区原则上应明显分开或进行隔断。按规定设置食堂、饮水处、厕所、浴室并符合卫生要求。</w:t>
      </w:r>
    </w:p>
    <w:p w14:paraId="6E2CA29E">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（8）按规定设置现场标志牌（五牌一图）和安全警示标志，对涉及社会公众安全的，要在显著位置设置警示牌，并采取相应保护措施。</w:t>
      </w:r>
    </w:p>
    <w:p w14:paraId="442ACE89">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（9）重大安全事故按有关规定及时准确上报，并进行调查处理。</w:t>
      </w:r>
    </w:p>
    <w:p w14:paraId="7D7F3AB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（10）自觉接受并积极配合建设、监理单位的督促检查；建筑安全监管部门的监督管理，依法接受国家安全监察。</w:t>
      </w:r>
      <w:r>
        <w:rPr>
          <w:rFonts w:ascii="宋体" w:hAnsi="宋体" w:eastAsia="宋体"/>
          <w:color w:val="000000" w:themeColor="text1"/>
          <w:szCs w:val="21"/>
          <w14:textFill>
            <w14:solidFill>
              <w14:schemeClr w14:val="tx1"/>
            </w14:solidFill>
          </w14:textFill>
        </w:rPr>
        <w:t>。</w:t>
      </w:r>
    </w:p>
    <w:p w14:paraId="735C49B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6.1.4 关于治安保卫的特别约定：</w:t>
      </w:r>
      <w:r>
        <w:rPr>
          <w:rFonts w:hint="eastAsia" w:ascii="宋体" w:hAnsi="宋体" w:eastAsia="宋体"/>
          <w:color w:val="000000" w:themeColor="text1"/>
          <w:szCs w:val="21"/>
          <w:u w:val="single"/>
          <w14:textFill>
            <w14:solidFill>
              <w14:schemeClr w14:val="tx1"/>
            </w14:solidFill>
          </w14:textFill>
        </w:rPr>
        <w:t>（1）施工现场内外由本项目承包人提供的生产区、办公区、生活区治安保卫工作由承包人全面负责。</w:t>
      </w:r>
    </w:p>
    <w:p w14:paraId="0A10F96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关于编制施工场地治安管理计划的约定：</w:t>
      </w:r>
      <w:r>
        <w:rPr>
          <w:rFonts w:hint="eastAsia" w:ascii="宋体" w:hAnsi="宋体" w:eastAsia="宋体"/>
          <w:color w:val="000000" w:themeColor="text1"/>
          <w:szCs w:val="21"/>
          <w:u w:val="single"/>
          <w14:textFill>
            <w14:solidFill>
              <w14:schemeClr w14:val="tx1"/>
            </w14:solidFill>
          </w14:textFill>
        </w:rPr>
        <w:t>由承包人在工程开工后7天内编制施工场地治安管理计划</w:t>
      </w:r>
      <w:r>
        <w:rPr>
          <w:rFonts w:ascii="宋体" w:hAnsi="宋体" w:eastAsia="宋体"/>
          <w:color w:val="000000" w:themeColor="text1"/>
          <w:szCs w:val="21"/>
          <w14:textFill>
            <w14:solidFill>
              <w14:schemeClr w14:val="tx1"/>
            </w14:solidFill>
          </w14:textFill>
        </w:rPr>
        <w:t>。</w:t>
      </w:r>
    </w:p>
    <w:p w14:paraId="28E8D3E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6.1.5 文明施工</w:t>
      </w:r>
    </w:p>
    <w:p w14:paraId="4DD07BE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合同当事人对文明施工的要求：</w:t>
      </w:r>
      <w:r>
        <w:rPr>
          <w:rFonts w:hint="eastAsia" w:ascii="宋体" w:hAnsi="宋体" w:eastAsia="宋体"/>
          <w:color w:val="000000" w:themeColor="text1"/>
          <w:szCs w:val="21"/>
          <w:u w:val="single"/>
          <w14:textFill>
            <w14:solidFill>
              <w14:schemeClr w14:val="tx1"/>
            </w14:solidFill>
          </w14:textFill>
        </w:rPr>
        <w:t>参照陕西省和西安市对文明工地的要求。</w:t>
      </w:r>
    </w:p>
    <w:p w14:paraId="2CF31F0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6.1.6 关于安全文明施工费支付比例和支付期限的约定：</w:t>
      </w:r>
      <w:r>
        <w:rPr>
          <w:rFonts w:hint="eastAsia" w:ascii="宋体" w:hAnsi="宋体" w:eastAsia="宋体"/>
          <w:color w:val="000000" w:themeColor="text1"/>
          <w:szCs w:val="21"/>
          <w:u w:val="single"/>
          <w14:textFill>
            <w14:solidFill>
              <w14:schemeClr w14:val="tx1"/>
            </w14:solidFill>
          </w14:textFill>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r>
        <w:rPr>
          <w:rFonts w:ascii="宋体" w:hAnsi="宋体" w:eastAsia="宋体"/>
          <w:color w:val="000000" w:themeColor="text1"/>
          <w:szCs w:val="21"/>
          <w:u w:val="single"/>
          <w14:textFill>
            <w14:solidFill>
              <w14:schemeClr w14:val="tx1"/>
            </w14:solidFill>
          </w14:textFill>
        </w:rPr>
        <w:t>。</w:t>
      </w:r>
    </w:p>
    <w:p w14:paraId="2FE18B7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6.1.</w:t>
      </w:r>
      <w:r>
        <w:rPr>
          <w:rFonts w:ascii="宋体" w:hAnsi="宋体" w:eastAsia="宋体"/>
          <w:color w:val="000000" w:themeColor="text1"/>
          <w:szCs w:val="21"/>
          <w14:textFill>
            <w14:solidFill>
              <w14:schemeClr w14:val="tx1"/>
            </w14:solidFill>
          </w14:textFill>
        </w:rPr>
        <w:t>7</w:t>
      </w:r>
      <w:r>
        <w:rPr>
          <w:rFonts w:hint="eastAsia" w:ascii="宋体" w:hAnsi="宋体" w:eastAsia="宋体"/>
          <w:color w:val="000000" w:themeColor="text1"/>
          <w:szCs w:val="21"/>
          <w14:textFill>
            <w14:solidFill>
              <w14:schemeClr w14:val="tx1"/>
            </w14:solidFill>
          </w14:textFill>
        </w:rPr>
        <w:t>安全生产责任：</w:t>
      </w:r>
      <w:r>
        <w:rPr>
          <w:rFonts w:hint="eastAsia" w:ascii="宋体" w:hAnsi="宋体" w:eastAsia="宋体"/>
          <w:color w:val="000000" w:themeColor="text1"/>
          <w:szCs w:val="21"/>
          <w:u w:val="single"/>
          <w14:textFill>
            <w14:solidFill>
              <w14:schemeClr w14:val="tx1"/>
            </w14:solidFill>
          </w14:textFill>
        </w:rPr>
        <w:t>施工现场发生的一切安全事故由承包人承担全部责任及损失。</w:t>
      </w:r>
    </w:p>
    <w:bookmarkEnd w:id="127"/>
    <w:bookmarkEnd w:id="128"/>
    <w:bookmarkEnd w:id="129"/>
    <w:bookmarkEnd w:id="130"/>
    <w:bookmarkEnd w:id="131"/>
    <w:bookmarkEnd w:id="132"/>
    <w:bookmarkEnd w:id="133"/>
    <w:p w14:paraId="120AA7D0">
      <w:pPr>
        <w:pStyle w:val="7"/>
        <w:spacing w:before="156" w:beforeLines="50" w:after="156" w:afterLines="50" w:line="400" w:lineRule="exact"/>
        <w:rPr>
          <w:rFonts w:ascii="宋体" w:hAnsi="宋体" w:cs="黑体"/>
          <w:b w:val="0"/>
          <w:color w:val="000000" w:themeColor="text1"/>
          <w14:textFill>
            <w14:solidFill>
              <w14:schemeClr w14:val="tx1"/>
            </w14:solidFill>
          </w14:textFill>
        </w:rPr>
      </w:pPr>
      <w:bookmarkStart w:id="135" w:name="_Toc351203639"/>
      <w:r>
        <w:rPr>
          <w:rFonts w:hint="eastAsia" w:ascii="宋体" w:hAnsi="宋体" w:cs="黑体"/>
          <w:b w:val="0"/>
          <w:color w:val="000000" w:themeColor="text1"/>
          <w14:textFill>
            <w14:solidFill>
              <w14:schemeClr w14:val="tx1"/>
            </w14:solidFill>
          </w14:textFill>
        </w:rPr>
        <w:t>7. 工期和进度</w:t>
      </w:r>
      <w:bookmarkEnd w:id="135"/>
    </w:p>
    <w:p w14:paraId="0BD099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7.1 施工组织设计</w:t>
      </w:r>
    </w:p>
    <w:p w14:paraId="32D0E196">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7.1.</w:t>
      </w:r>
      <w:r>
        <w:rPr>
          <w:rFonts w:hint="eastAsia" w:ascii="宋体" w:hAnsi="宋体" w:eastAsia="宋体"/>
          <w:color w:val="000000" w:themeColor="text1"/>
          <w:szCs w:val="21"/>
          <w14:textFill>
            <w14:solidFill>
              <w14:schemeClr w14:val="tx1"/>
            </w14:solidFill>
          </w14:textFill>
        </w:rPr>
        <w:t>1 合</w:t>
      </w:r>
      <w:r>
        <w:rPr>
          <w:rFonts w:hint="eastAsia" w:ascii="宋体" w:hAnsi="宋体" w:eastAsia="宋体"/>
          <w:color w:val="000000" w:themeColor="text1"/>
          <w:kern w:val="0"/>
          <w:szCs w:val="21"/>
          <w14:textFill>
            <w14:solidFill>
              <w14:schemeClr w14:val="tx1"/>
            </w14:solidFill>
          </w14:textFill>
        </w:rPr>
        <w:t>同当事人约定的</w:t>
      </w:r>
      <w:r>
        <w:rPr>
          <w:rFonts w:ascii="宋体" w:hAnsi="宋体" w:eastAsia="宋体"/>
          <w:color w:val="000000" w:themeColor="text1"/>
          <w:kern w:val="0"/>
          <w:szCs w:val="21"/>
          <w14:textFill>
            <w14:solidFill>
              <w14:schemeClr w14:val="tx1"/>
            </w14:solidFill>
          </w14:textFill>
        </w:rPr>
        <w:t>施工组织设计</w:t>
      </w:r>
      <w:r>
        <w:rPr>
          <w:rFonts w:hint="eastAsia" w:ascii="宋体" w:hAnsi="宋体" w:eastAsia="宋体"/>
          <w:color w:val="000000" w:themeColor="text1"/>
          <w:kern w:val="0"/>
          <w:szCs w:val="21"/>
          <w14:textFill>
            <w14:solidFill>
              <w14:schemeClr w14:val="tx1"/>
            </w14:solidFill>
          </w14:textFill>
        </w:rPr>
        <w:t>应包括的其他内容</w:t>
      </w:r>
      <w:r>
        <w:rPr>
          <w:rFonts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w:t>
      </w:r>
    </w:p>
    <w:p w14:paraId="7B459ED9">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7.1.2 </w:t>
      </w:r>
      <w:r>
        <w:rPr>
          <w:rFonts w:ascii="宋体" w:hAnsi="宋体" w:eastAsia="宋体"/>
          <w:color w:val="000000" w:themeColor="text1"/>
          <w:kern w:val="0"/>
          <w:szCs w:val="21"/>
          <w14:textFill>
            <w14:solidFill>
              <w14:schemeClr w14:val="tx1"/>
            </w14:solidFill>
          </w14:textFill>
        </w:rPr>
        <w:t>施工组织设计的提交和修改</w:t>
      </w:r>
    </w:p>
    <w:p w14:paraId="710DF386">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承包人提交详细施工组织设计的期限的约定：</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合同签订7天内     </w:t>
      </w:r>
      <w:r>
        <w:rPr>
          <w:rFonts w:ascii="宋体" w:hAnsi="宋体" w:eastAsia="宋体"/>
          <w:color w:val="000000" w:themeColor="text1"/>
          <w:szCs w:val="21"/>
          <w14:textFill>
            <w14:solidFill>
              <w14:schemeClr w14:val="tx1"/>
            </w14:solidFill>
          </w14:textFill>
        </w:rPr>
        <w:t>。</w:t>
      </w:r>
    </w:p>
    <w:p w14:paraId="3439CC8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发包人和监理人在收到</w:t>
      </w:r>
      <w:r>
        <w:rPr>
          <w:rFonts w:hint="eastAsia" w:ascii="宋体" w:hAnsi="宋体" w:eastAsia="宋体"/>
          <w:color w:val="000000" w:themeColor="text1"/>
          <w:szCs w:val="21"/>
          <w14:textFill>
            <w14:solidFill>
              <w14:schemeClr w14:val="tx1"/>
            </w14:solidFill>
          </w14:textFill>
        </w:rPr>
        <w:t>详细的施工组织设计</w:t>
      </w:r>
      <w:r>
        <w:rPr>
          <w:rFonts w:ascii="宋体" w:hAnsi="宋体" w:eastAsia="宋体"/>
          <w:color w:val="000000" w:themeColor="text1"/>
          <w:szCs w:val="21"/>
          <w14:textFill>
            <w14:solidFill>
              <w14:schemeClr w14:val="tx1"/>
            </w14:solidFill>
          </w14:textFill>
        </w:rPr>
        <w:t>后确认或提出修改意见的期限：</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14:textFill>
            <w14:solidFill>
              <w14:schemeClr w14:val="tx1"/>
            </w14:solidFill>
          </w14:textFill>
        </w:rPr>
        <w:t>。</w:t>
      </w:r>
    </w:p>
    <w:p w14:paraId="0390DF3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36" w:name="_Toc312678005"/>
      <w:bookmarkStart w:id="137" w:name="_Toc297123514"/>
      <w:bookmarkStart w:id="138" w:name="_Toc303539123"/>
      <w:bookmarkStart w:id="139" w:name="_Toc297216173"/>
      <w:bookmarkStart w:id="140" w:name="_Toc300934966"/>
      <w:bookmarkStart w:id="141" w:name="_Toc312677479"/>
      <w:bookmarkStart w:id="142" w:name="_Toc304295541"/>
      <w:r>
        <w:rPr>
          <w:rFonts w:ascii="宋体" w:hAnsi="宋体" w:eastAsia="宋体"/>
          <w:color w:val="000000" w:themeColor="text1"/>
          <w:szCs w:val="21"/>
          <w14:textFill>
            <w14:solidFill>
              <w14:schemeClr w14:val="tx1"/>
            </w14:solidFill>
          </w14:textFill>
        </w:rPr>
        <w:t>.2 施工进度计划</w:t>
      </w:r>
    </w:p>
    <w:p w14:paraId="4A5AA81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7.2.2 施工进度计划的修订</w:t>
      </w:r>
    </w:p>
    <w:p w14:paraId="23EE0B7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发包人和监理人在收到修订的施工进度计划后确认或提出修改意见的期限：</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14:textFill>
            <w14:solidFill>
              <w14:schemeClr w14:val="tx1"/>
            </w14:solidFill>
          </w14:textFill>
        </w:rPr>
        <w:t>。</w:t>
      </w:r>
    </w:p>
    <w:p w14:paraId="130BC6B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 开工</w:t>
      </w:r>
    </w:p>
    <w:p w14:paraId="10F9864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7.3.1 开工准备</w:t>
      </w:r>
    </w:p>
    <w:p w14:paraId="00990D0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关于承包人提交</w:t>
      </w:r>
      <w:r>
        <w:rPr>
          <w:rFonts w:ascii="宋体" w:hAnsi="宋体" w:eastAsia="宋体"/>
          <w:color w:val="000000" w:themeColor="text1"/>
          <w:kern w:val="0"/>
          <w:szCs w:val="21"/>
          <w14:textFill>
            <w14:solidFill>
              <w14:schemeClr w14:val="tx1"/>
            </w14:solidFill>
          </w14:textFill>
        </w:rPr>
        <w:t>工程开工报审表的期限：</w:t>
      </w:r>
      <w:r>
        <w:rPr>
          <w:rFonts w:hint="eastAsia" w:ascii="宋体" w:hAnsi="宋体" w:eastAsia="宋体"/>
          <w:color w:val="000000" w:themeColor="text1"/>
          <w:szCs w:val="21"/>
          <w:u w:val="single"/>
          <w14:textFill>
            <w14:solidFill>
              <w14:schemeClr w14:val="tx1"/>
            </w14:solidFill>
          </w14:textFill>
        </w:rPr>
        <w:t>合同签订后5天内，但不得晚于通用条款7.3.2项[开工通知]载明的开工日期前10天</w:t>
      </w:r>
      <w:r>
        <w:rPr>
          <w:rFonts w:ascii="宋体" w:hAnsi="宋体" w:eastAsia="宋体"/>
          <w:color w:val="000000" w:themeColor="text1"/>
          <w:szCs w:val="21"/>
          <w14:textFill>
            <w14:solidFill>
              <w14:schemeClr w14:val="tx1"/>
            </w14:solidFill>
          </w14:textFill>
        </w:rPr>
        <w:t>。</w:t>
      </w:r>
    </w:p>
    <w:p w14:paraId="1625441B">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关于发包人应完成的其他开工准备工作及期限：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5BB37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关于承包人应完成的其他开工准备工作及期限：</w:t>
      </w:r>
      <w:r>
        <w:rPr>
          <w:rFonts w:ascii="宋体" w:hAnsi="宋体" w:eastAsia="宋体"/>
          <w:color w:val="000000" w:themeColor="text1"/>
          <w:szCs w:val="21"/>
          <w:u w:val="single"/>
          <w14:textFill>
            <w14:solidFill>
              <w14:schemeClr w14:val="tx1"/>
            </w14:solidFill>
          </w14:textFill>
        </w:rPr>
        <w:t>扬尘治理专项方案</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合同签订后</w:t>
      </w:r>
      <w:r>
        <w:rPr>
          <w:rFonts w:hint="eastAsia" w:ascii="宋体" w:hAnsi="宋体" w:eastAsia="宋体"/>
          <w:color w:val="000000" w:themeColor="text1"/>
          <w:szCs w:val="21"/>
          <w:u w:val="single"/>
          <w14:textFill>
            <w14:solidFill>
              <w14:schemeClr w14:val="tx1"/>
            </w14:solidFill>
          </w14:textFill>
        </w:rPr>
        <w:t>15个日历天内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6F592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7.3.2开工通知</w:t>
      </w:r>
    </w:p>
    <w:bookmarkEnd w:id="136"/>
    <w:bookmarkEnd w:id="137"/>
    <w:bookmarkEnd w:id="138"/>
    <w:bookmarkEnd w:id="139"/>
    <w:bookmarkEnd w:id="140"/>
    <w:bookmarkEnd w:id="141"/>
    <w:bookmarkEnd w:id="142"/>
    <w:p w14:paraId="673B9D3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因发包人原因造成监理人未能在计划开工日期之日起</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5</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天内发出开工通知的，承包人有权提出价格调整要求，或者解除合同。</w:t>
      </w:r>
    </w:p>
    <w:p w14:paraId="46B09A7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7.4 测量放线</w:t>
      </w:r>
    </w:p>
    <w:p w14:paraId="6A48525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7.4.1发包人通过监理人向承包人提供测量基准点、基准线和水准点及其书面资料的期限：</w:t>
      </w:r>
      <w:r>
        <w:rPr>
          <w:rFonts w:hint="eastAsia" w:ascii="宋体" w:hAnsi="宋体" w:eastAsia="宋体"/>
          <w:color w:val="000000" w:themeColor="text1"/>
          <w:szCs w:val="21"/>
          <w:u w:val="single"/>
          <w14:textFill>
            <w14:solidFill>
              <w14:schemeClr w14:val="tx1"/>
            </w14:solidFill>
          </w14:textFill>
        </w:rPr>
        <w:t>工程正式开工前7日</w:t>
      </w:r>
      <w:r>
        <w:rPr>
          <w:rFonts w:ascii="宋体" w:hAnsi="宋体" w:eastAsia="宋体"/>
          <w:color w:val="000000" w:themeColor="text1"/>
          <w:szCs w:val="21"/>
          <w14:textFill>
            <w14:solidFill>
              <w14:schemeClr w14:val="tx1"/>
            </w14:solidFill>
          </w14:textFill>
        </w:rPr>
        <w:t>。</w:t>
      </w:r>
    </w:p>
    <w:p w14:paraId="5B16CC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43" w:name="_Toc297123516"/>
      <w:bookmarkStart w:id="144" w:name="_Toc300934968"/>
      <w:bookmarkStart w:id="145" w:name="_Toc312678010"/>
      <w:bookmarkStart w:id="146" w:name="_Toc304295546"/>
      <w:bookmarkStart w:id="147" w:name="_Toc303539125"/>
      <w:bookmarkStart w:id="148" w:name="_Toc312677484"/>
      <w:bookmarkStart w:id="149" w:name="_Toc297216175"/>
      <w:r>
        <w:rPr>
          <w:rFonts w:ascii="宋体" w:hAnsi="宋体" w:eastAsia="宋体"/>
          <w:color w:val="000000" w:themeColor="text1"/>
          <w:szCs w:val="21"/>
          <w14:textFill>
            <w14:solidFill>
              <w14:schemeClr w14:val="tx1"/>
            </w14:solidFill>
          </w14:textFill>
        </w:rPr>
        <w:t>.5 工期延误</w:t>
      </w:r>
    </w:p>
    <w:bookmarkEnd w:id="143"/>
    <w:bookmarkEnd w:id="144"/>
    <w:bookmarkEnd w:id="145"/>
    <w:bookmarkEnd w:id="146"/>
    <w:bookmarkEnd w:id="147"/>
    <w:bookmarkEnd w:id="148"/>
    <w:bookmarkEnd w:id="149"/>
    <w:p w14:paraId="12D68367">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50" w:name="_Toc312678014"/>
      <w:bookmarkStart w:id="151" w:name="_Toc318581171"/>
      <w:r>
        <w:rPr>
          <w:rFonts w:ascii="宋体" w:hAnsi="宋体" w:eastAsia="宋体"/>
          <w:color w:val="000000" w:themeColor="text1"/>
          <w:szCs w:val="21"/>
          <w14:textFill>
            <w14:solidFill>
              <w14:schemeClr w14:val="tx1"/>
            </w14:solidFill>
          </w14:textFill>
        </w:rPr>
        <w:t>7.5.1 因发包人原因导致工期延误</w:t>
      </w:r>
    </w:p>
    <w:p w14:paraId="259C76A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（7）因发包人原因导致工期延误的其他情形：</w:t>
      </w:r>
      <w:r>
        <w:rPr>
          <w:rFonts w:ascii="宋体" w:hAnsi="宋体" w:eastAsia="宋体"/>
          <w:color w:val="000000" w:themeColor="text1"/>
          <w:szCs w:val="21"/>
          <w:u w:val="single"/>
          <w14:textFill>
            <w14:solidFill>
              <w14:schemeClr w14:val="tx1"/>
            </w14:solidFill>
          </w14:textFill>
        </w:rPr>
        <w:t>不可抗力，此延误工期须在</w:t>
      </w:r>
      <w:r>
        <w:rPr>
          <w:rFonts w:hint="eastAsia" w:ascii="宋体" w:hAnsi="宋体" w:eastAsia="宋体"/>
          <w:color w:val="000000" w:themeColor="text1"/>
          <w:szCs w:val="21"/>
          <w:u w:val="single"/>
          <w14:textFill>
            <w14:solidFill>
              <w14:schemeClr w14:val="tx1"/>
            </w14:solidFill>
          </w14:textFill>
        </w:rPr>
        <w:t>发生</w:t>
      </w:r>
      <w:r>
        <w:rPr>
          <w:rFonts w:ascii="宋体" w:hAnsi="宋体" w:eastAsia="宋体"/>
          <w:color w:val="000000" w:themeColor="text1"/>
          <w:szCs w:val="21"/>
          <w:u w:val="single"/>
          <w14:textFill>
            <w14:solidFill>
              <w14:schemeClr w14:val="tx1"/>
            </w14:solidFill>
          </w14:textFill>
        </w:rPr>
        <w:t>后</w:t>
      </w:r>
      <w:r>
        <w:rPr>
          <w:rFonts w:hint="eastAsia" w:ascii="宋体" w:hAnsi="宋体" w:eastAsia="宋体"/>
          <w:color w:val="000000" w:themeColor="text1"/>
          <w:szCs w:val="21"/>
          <w:u w:val="single"/>
          <w14:textFill>
            <w14:solidFill>
              <w14:schemeClr w14:val="tx1"/>
            </w14:solidFill>
          </w14:textFill>
        </w:rPr>
        <w:t>7</w:t>
      </w:r>
      <w:r>
        <w:rPr>
          <w:rFonts w:ascii="宋体" w:hAnsi="宋体" w:eastAsia="宋体"/>
          <w:color w:val="000000" w:themeColor="text1"/>
          <w:szCs w:val="21"/>
          <w:u w:val="single"/>
          <w14:textFill>
            <w14:solidFill>
              <w14:schemeClr w14:val="tx1"/>
            </w14:solidFill>
          </w14:textFill>
        </w:rPr>
        <w:t>天内办理</w:t>
      </w:r>
      <w:r>
        <w:rPr>
          <w:rFonts w:hint="eastAsia" w:ascii="宋体" w:hAnsi="宋体" w:eastAsia="宋体"/>
          <w:color w:val="000000" w:themeColor="text1"/>
          <w:szCs w:val="21"/>
          <w:u w:val="single"/>
          <w14:textFill>
            <w14:solidFill>
              <w14:schemeClr w14:val="tx1"/>
            </w14:solidFill>
          </w14:textFill>
        </w:rPr>
        <w:t>延期申请</w:t>
      </w:r>
      <w:r>
        <w:rPr>
          <w:rFonts w:ascii="宋体" w:hAnsi="宋体" w:eastAsia="宋体"/>
          <w:color w:val="000000" w:themeColor="text1"/>
          <w:szCs w:val="21"/>
          <w:u w:val="single"/>
          <w14:textFill>
            <w14:solidFill>
              <w14:schemeClr w14:val="tx1"/>
            </w14:solidFill>
          </w14:textFill>
        </w:rPr>
        <w:t>，逾期不予认可</w:t>
      </w:r>
      <w:r>
        <w:rPr>
          <w:rFonts w:ascii="宋体" w:hAnsi="宋体" w:eastAsia="宋体"/>
          <w:color w:val="000000" w:themeColor="text1"/>
          <w:szCs w:val="21"/>
          <w14:textFill>
            <w14:solidFill>
              <w14:schemeClr w14:val="tx1"/>
            </w14:solidFill>
          </w14:textFill>
        </w:rPr>
        <w:t>。</w:t>
      </w:r>
    </w:p>
    <w:p w14:paraId="5903CA7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52" w:name="_Toc318581169"/>
      <w:bookmarkStart w:id="153" w:name="_Toc312678012"/>
      <w:bookmarkStart w:id="154" w:name="_Toc312677486"/>
      <w:bookmarkStart w:id="155" w:name="_Toc297123518"/>
      <w:bookmarkStart w:id="156" w:name="_Toc297216177"/>
      <w:bookmarkStart w:id="157" w:name="_Toc300934970"/>
      <w:bookmarkStart w:id="158" w:name="_Toc303539127"/>
      <w:bookmarkStart w:id="159" w:name="_Toc304295548"/>
      <w:r>
        <w:rPr>
          <w:rFonts w:ascii="宋体" w:hAnsi="宋体" w:eastAsia="宋体"/>
          <w:color w:val="000000" w:themeColor="text1"/>
          <w:szCs w:val="21"/>
          <w14:textFill>
            <w14:solidFill>
              <w14:schemeClr w14:val="tx1"/>
            </w14:solidFill>
          </w14:textFill>
        </w:rPr>
        <w:t>.5.2 因承包人原因导致工期延误</w:t>
      </w:r>
    </w:p>
    <w:bookmarkEnd w:id="152"/>
    <w:bookmarkEnd w:id="153"/>
    <w:bookmarkEnd w:id="154"/>
    <w:p w14:paraId="2AB84C4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w:t>
      </w:r>
      <w:bookmarkStart w:id="160" w:name="_Toc312678013"/>
      <w:bookmarkStart w:id="161" w:name="_Toc312677487"/>
      <w:bookmarkStart w:id="162" w:name="_Toc318581170"/>
      <w:r>
        <w:rPr>
          <w:rFonts w:ascii="宋体" w:hAnsi="宋体" w:eastAsia="宋体"/>
          <w:color w:val="000000" w:themeColor="text1"/>
          <w:szCs w:val="21"/>
          <w14:textFill>
            <w14:solidFill>
              <w14:schemeClr w14:val="tx1"/>
            </w14:solidFill>
          </w14:textFill>
        </w:rPr>
        <w:t>承包人原因造成工期延误，逾期竣工违约金的计算方法为：</w:t>
      </w:r>
      <w:bookmarkEnd w:id="155"/>
      <w:bookmarkEnd w:id="156"/>
      <w:bookmarkEnd w:id="157"/>
      <w:bookmarkEnd w:id="158"/>
      <w:bookmarkEnd w:id="159"/>
      <w:bookmarkEnd w:id="160"/>
      <w:bookmarkEnd w:id="161"/>
    </w:p>
    <w:p w14:paraId="2EBF4DAB">
      <w:pPr>
        <w:numPr>
          <w:ilvl w:val="0"/>
          <w:numId w:val="3"/>
        </w:num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按投标</w:t>
      </w:r>
      <w:r>
        <w:rPr>
          <w:rFonts w:ascii="宋体" w:hAnsi="宋体" w:eastAsia="宋体"/>
          <w:color w:val="000000" w:themeColor="text1"/>
          <w:szCs w:val="21"/>
          <w:u w:val="single"/>
          <w14:textFill>
            <w14:solidFill>
              <w14:schemeClr w14:val="tx1"/>
            </w14:solidFill>
          </w14:textFill>
        </w:rPr>
        <w:t>工期提前无奖励</w:t>
      </w:r>
      <w:r>
        <w:rPr>
          <w:rFonts w:hint="eastAsia" w:ascii="宋体" w:hAnsi="宋体" w:eastAsia="宋体"/>
          <w:color w:val="000000" w:themeColor="text1"/>
          <w:szCs w:val="21"/>
          <w:u w:val="single"/>
          <w14:textFill>
            <w14:solidFill>
              <w14:schemeClr w14:val="tx1"/>
            </w14:solidFill>
          </w14:textFill>
        </w:rPr>
        <w:t>。</w:t>
      </w:r>
    </w:p>
    <w:p w14:paraId="39009C97">
      <w:pPr>
        <w:spacing w:line="400" w:lineRule="exact"/>
        <w:ind w:left="42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（b）</w:t>
      </w:r>
      <w:r>
        <w:rPr>
          <w:rFonts w:hint="eastAsia" w:ascii="宋体" w:hAnsi="宋体" w:eastAsia="宋体"/>
          <w:color w:val="000000" w:themeColor="text1"/>
          <w:szCs w:val="21"/>
          <w:u w:val="single"/>
          <w14:textFill>
            <w14:solidFill>
              <w14:schemeClr w14:val="tx1"/>
            </w14:solidFill>
          </w14:textFill>
        </w:rPr>
        <w:t>由于雾霾影响的工期延误由承包人承担；</w:t>
      </w:r>
    </w:p>
    <w:bookmarkEnd w:id="162"/>
    <w:p w14:paraId="1158196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因承包人原因造成工期延误，逾期竣工违约金的上限</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150"/>
    <w:bookmarkEnd w:id="151"/>
    <w:p w14:paraId="43E09FF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63" w:name="_Toc304295549"/>
      <w:bookmarkStart w:id="164" w:name="_Toc297216178"/>
      <w:bookmarkStart w:id="165" w:name="_Toc303539128"/>
      <w:bookmarkStart w:id="166" w:name="_Toc300934971"/>
      <w:bookmarkStart w:id="167" w:name="_Toc297123519"/>
      <w:bookmarkStart w:id="168" w:name="_Toc312678015"/>
      <w:r>
        <w:rPr>
          <w:rFonts w:ascii="宋体" w:hAnsi="宋体" w:eastAsia="宋体"/>
          <w:color w:val="000000" w:themeColor="text1"/>
          <w:szCs w:val="21"/>
          <w14:textFill>
            <w14:solidFill>
              <w14:schemeClr w14:val="tx1"/>
            </w14:solidFill>
          </w14:textFill>
        </w:rPr>
        <w:t>.6 不</w:t>
      </w:r>
      <w:bookmarkEnd w:id="163"/>
      <w:bookmarkEnd w:id="164"/>
      <w:bookmarkEnd w:id="165"/>
      <w:bookmarkEnd w:id="166"/>
      <w:bookmarkEnd w:id="167"/>
      <w:bookmarkEnd w:id="168"/>
      <w:r>
        <w:rPr>
          <w:rFonts w:ascii="宋体" w:hAnsi="宋体" w:eastAsia="宋体"/>
          <w:color w:val="000000" w:themeColor="text1"/>
          <w:szCs w:val="21"/>
          <w14:textFill>
            <w14:solidFill>
              <w14:schemeClr w14:val="tx1"/>
            </w14:solidFill>
          </w14:textFill>
        </w:rPr>
        <w:t>利物质条件</w:t>
      </w:r>
    </w:p>
    <w:p w14:paraId="7E0629F4">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69" w:name="_Toc303539129"/>
      <w:bookmarkStart w:id="170" w:name="_Toc312678016"/>
      <w:bookmarkStart w:id="171" w:name="_Toc297216179"/>
      <w:bookmarkStart w:id="172" w:name="_Toc318581172"/>
      <w:bookmarkStart w:id="173" w:name="_Toc297123520"/>
      <w:bookmarkStart w:id="174" w:name="_Toc300934972"/>
      <w:bookmarkStart w:id="175" w:name="_Toc304295550"/>
      <w:r>
        <w:rPr>
          <w:rFonts w:ascii="宋体" w:hAnsi="宋体" w:eastAsia="宋体"/>
          <w:color w:val="000000" w:themeColor="text1"/>
          <w:szCs w:val="21"/>
          <w14:textFill>
            <w14:solidFill>
              <w14:schemeClr w14:val="tx1"/>
            </w14:solidFill>
          </w14:textFill>
        </w:rPr>
        <w:t>不利物质条件的其他情形和有关约定：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169"/>
    <w:bookmarkEnd w:id="170"/>
    <w:bookmarkEnd w:id="171"/>
    <w:bookmarkEnd w:id="172"/>
    <w:bookmarkEnd w:id="173"/>
    <w:bookmarkEnd w:id="174"/>
    <w:bookmarkEnd w:id="175"/>
    <w:p w14:paraId="6205ADE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76" w:name="_Toc300934973"/>
      <w:bookmarkStart w:id="177" w:name="_Toc304295551"/>
      <w:bookmarkStart w:id="178" w:name="_Toc303539130"/>
      <w:bookmarkStart w:id="179" w:name="_Toc297216180"/>
      <w:bookmarkStart w:id="180" w:name="_Toc297123521"/>
      <w:bookmarkStart w:id="181" w:name="_Toc312678017"/>
      <w:r>
        <w:rPr>
          <w:rFonts w:ascii="宋体" w:hAnsi="宋体" w:eastAsia="宋体"/>
          <w:color w:val="000000" w:themeColor="text1"/>
          <w:szCs w:val="21"/>
          <w14:textFill>
            <w14:solidFill>
              <w14:schemeClr w14:val="tx1"/>
            </w14:solidFill>
          </w14:textFill>
        </w:rPr>
        <w:t>.7异常恶劣的气候条件</w:t>
      </w:r>
    </w:p>
    <w:bookmarkEnd w:id="176"/>
    <w:bookmarkEnd w:id="177"/>
    <w:bookmarkEnd w:id="178"/>
    <w:bookmarkEnd w:id="179"/>
    <w:bookmarkEnd w:id="180"/>
    <w:bookmarkEnd w:id="181"/>
    <w:p w14:paraId="7D3BCA6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发包人和承包人同意以下情形视为异常恶劣的气候条件：</w:t>
      </w:r>
    </w:p>
    <w:p w14:paraId="04F9DE59">
      <w:pPr>
        <w:spacing w:line="400" w:lineRule="exact"/>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w:t>
      </w:r>
      <w:r>
        <w:rPr>
          <w:rFonts w:hint="eastAsia" w:ascii="宋体" w:hAnsi="宋体" w:eastAsia="宋体" w:cs="宋体"/>
          <w:bCs/>
          <w:color w:val="000000" w:themeColor="text1"/>
          <w:szCs w:val="21"/>
          <w:u w:val="single"/>
          <w14:textFill>
            <w14:solidFill>
              <w14:schemeClr w14:val="tx1"/>
            </w14:solidFill>
          </w14:textFill>
        </w:rPr>
        <w:t xml:space="preserve">7级以上大风 </w:t>
      </w:r>
      <w:r>
        <w:rPr>
          <w:rFonts w:hint="eastAsia" w:ascii="宋体" w:hAnsi="宋体" w:eastAsia="宋体" w:cs="宋体"/>
          <w:color w:val="000000" w:themeColor="text1"/>
          <w:szCs w:val="21"/>
          <w14:textFill>
            <w14:solidFill>
              <w14:schemeClr w14:val="tx1"/>
            </w14:solidFill>
          </w14:textFill>
        </w:rPr>
        <w:t>。</w:t>
      </w:r>
    </w:p>
    <w:p w14:paraId="66823DA0">
      <w:pPr>
        <w:spacing w:line="400" w:lineRule="exact"/>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w:t>
      </w:r>
      <w:r>
        <w:rPr>
          <w:rFonts w:ascii="宋体" w:hAnsi="宋体" w:eastAsia="宋体" w:cs="宋体"/>
          <w:bCs/>
          <w:color w:val="000000" w:themeColor="text1"/>
          <w:szCs w:val="21"/>
          <w:u w:val="single"/>
          <w14:textFill>
            <w14:solidFill>
              <w14:schemeClr w14:val="tx1"/>
            </w14:solidFill>
          </w14:textFill>
        </w:rPr>
        <w:t>3小时内降雨量将达50毫米以上，或者已达50毫米以上且降雨可能持续</w:t>
      </w:r>
      <w:r>
        <w:rPr>
          <w:rFonts w:hint="eastAsia" w:ascii="宋体" w:hAnsi="宋体" w:eastAsia="宋体" w:cs="宋体"/>
          <w:b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w:t>
      </w:r>
    </w:p>
    <w:p w14:paraId="55CF61C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7.9 提前竣工的奖励</w:t>
      </w:r>
    </w:p>
    <w:p w14:paraId="514A326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7.9.2提前竣工的奖励：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25AA63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82" w:name="_Toc351203640"/>
      <w:r>
        <w:rPr>
          <w:rFonts w:hint="eastAsia" w:ascii="宋体" w:hAnsi="宋体" w:cs="黑体"/>
          <w:color w:val="000000" w:themeColor="text1"/>
          <w14:textFill>
            <w14:solidFill>
              <w14:schemeClr w14:val="tx1"/>
            </w14:solidFill>
          </w14:textFill>
        </w:rPr>
        <w:t>8. 材料与设备</w:t>
      </w:r>
      <w:bookmarkEnd w:id="182"/>
    </w:p>
    <w:bookmarkEnd w:id="117"/>
    <w:bookmarkEnd w:id="118"/>
    <w:bookmarkEnd w:id="119"/>
    <w:bookmarkEnd w:id="120"/>
    <w:bookmarkEnd w:id="121"/>
    <w:bookmarkEnd w:id="122"/>
    <w:bookmarkEnd w:id="123"/>
    <w:bookmarkEnd w:id="124"/>
    <w:bookmarkEnd w:id="125"/>
    <w:bookmarkEnd w:id="126"/>
    <w:p w14:paraId="59F4E030">
      <w:pPr>
        <w:spacing w:line="400" w:lineRule="exact"/>
        <w:ind w:firstLine="403" w:firstLineChars="192"/>
        <w:rPr>
          <w:rFonts w:ascii="宋体" w:hAnsi="宋体" w:eastAsia="宋体"/>
          <w:color w:val="000000" w:themeColor="text1"/>
          <w:szCs w:val="21"/>
          <w14:textFill>
            <w14:solidFill>
              <w14:schemeClr w14:val="tx1"/>
            </w14:solidFill>
          </w14:textFill>
        </w:rPr>
      </w:pPr>
      <w:bookmarkStart w:id="183" w:name="_Toc318581173"/>
      <w:bookmarkStart w:id="184" w:name="_Toc296503168"/>
      <w:bookmarkStart w:id="185" w:name="_Toc312677494"/>
      <w:bookmarkStart w:id="186" w:name="_Toc297048354"/>
      <w:bookmarkStart w:id="187" w:name="_Toc296346669"/>
      <w:bookmarkStart w:id="188" w:name="_Toc297123528"/>
      <w:bookmarkStart w:id="189" w:name="_Toc296347167"/>
      <w:bookmarkStart w:id="190" w:name="_Toc312678020"/>
      <w:bookmarkStart w:id="191" w:name="_Toc303539137"/>
      <w:bookmarkStart w:id="192" w:name="_Toc297216187"/>
      <w:bookmarkStart w:id="193" w:name="_Toc296891208"/>
      <w:bookmarkStart w:id="194" w:name="_Toc304295557"/>
      <w:bookmarkStart w:id="195" w:name="_Toc296890996"/>
      <w:bookmarkStart w:id="196" w:name="_Toc300934980"/>
      <w:bookmarkStart w:id="197" w:name="_Toc297120468"/>
      <w:bookmarkStart w:id="198" w:name="_Toc296944507"/>
      <w:bookmarkStart w:id="199" w:name="_Toc267251424"/>
      <w:bookmarkStart w:id="200" w:name="_Toc280868655"/>
      <w:bookmarkStart w:id="201" w:name="_Toc280868656"/>
      <w:r>
        <w:rPr>
          <w:rFonts w:hint="eastAsia" w:ascii="宋体" w:hAnsi="宋体" w:eastAsia="宋体"/>
          <w:color w:val="000000" w:themeColor="text1"/>
          <w:szCs w:val="21"/>
          <w14:textFill>
            <w14:solidFill>
              <w14:schemeClr w14:val="tx1"/>
            </w14:solidFill>
          </w14:textFill>
        </w:rPr>
        <w:t>8.2承包人采购材料与工程设备：</w:t>
      </w:r>
    </w:p>
    <w:p w14:paraId="10E5D215">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由发包人暂定价的材料设备必须经发包人认质认价和投标人审批程序后承包人方可采购。</w:t>
      </w:r>
    </w:p>
    <w:p w14:paraId="798D5D19">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承包人采购的所有材料、设备，除满足采购文件要求外，且应达到国家规范或设计要求的“合格”标准，如因材料、设备质量造成的工程损失由承包人负全部责任。</w:t>
      </w:r>
    </w:p>
    <w:p w14:paraId="66DDCE4A">
      <w:pPr>
        <w:adjustRightInd w:val="0"/>
        <w:snapToGrid w:val="0"/>
        <w:spacing w:line="400" w:lineRule="exact"/>
        <w:ind w:firstLine="436" w:firstLineChars="208"/>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其它主要材料价格调整约定：</w:t>
      </w:r>
    </w:p>
    <w:p w14:paraId="7691E35E">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暂定材料价的价差据实调整。</w:t>
      </w:r>
    </w:p>
    <w:p w14:paraId="281607A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w:t>
      </w:r>
      <w:bookmarkStart w:id="202" w:name="_Toc312678019"/>
      <w:bookmarkStart w:id="203" w:name="_Toc303539136"/>
      <w:bookmarkStart w:id="204" w:name="_Toc292559877"/>
      <w:bookmarkStart w:id="205" w:name="_Toc296347166"/>
      <w:bookmarkStart w:id="206" w:name="_Toc280868654"/>
      <w:bookmarkStart w:id="207" w:name="_Toc296346668"/>
      <w:bookmarkStart w:id="208" w:name="_Toc296944506"/>
      <w:bookmarkStart w:id="209" w:name="_Toc297120467"/>
      <w:bookmarkStart w:id="210" w:name="_Toc296890995"/>
      <w:bookmarkStart w:id="211" w:name="_Toc297048353"/>
      <w:bookmarkStart w:id="212" w:name="_Toc304295556"/>
      <w:bookmarkStart w:id="213" w:name="_Toc296503167"/>
      <w:bookmarkStart w:id="214" w:name="_Toc296891207"/>
      <w:bookmarkStart w:id="215" w:name="_Toc300934979"/>
      <w:bookmarkStart w:id="216" w:name="_Toc297123527"/>
      <w:bookmarkStart w:id="217" w:name="_Toc312677493"/>
      <w:bookmarkStart w:id="218" w:name="_Toc292559372"/>
      <w:bookmarkStart w:id="219" w:name="_Toc297216186"/>
      <w:r>
        <w:rPr>
          <w:rFonts w:ascii="宋体" w:hAnsi="宋体" w:eastAsia="宋体"/>
          <w:color w:val="000000" w:themeColor="text1"/>
          <w:szCs w:val="21"/>
          <w14:textFill>
            <w14:solidFill>
              <w14:schemeClr w14:val="tx1"/>
            </w14:solidFill>
          </w14:textFill>
        </w:rPr>
        <w:t>.4材料与工程设备的保管与使用</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本项目采购材料与工程设备由承包人保管。</w:t>
      </w:r>
    </w:p>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14:paraId="26EF6549">
      <w:pPr>
        <w:spacing w:line="400" w:lineRule="exact"/>
        <w:ind w:firstLine="403" w:firstLineChars="192"/>
        <w:rPr>
          <w:rFonts w:ascii="宋体" w:hAnsi="宋体" w:eastAsia="宋体"/>
          <w:color w:val="000000" w:themeColor="text1"/>
          <w:szCs w:val="21"/>
          <w:u w:val="single"/>
          <w14:textFill>
            <w14:solidFill>
              <w14:schemeClr w14:val="tx1"/>
            </w14:solidFill>
          </w14:textFill>
        </w:rPr>
      </w:pPr>
      <w:bookmarkStart w:id="220" w:name="_Toc292559878"/>
      <w:bookmarkStart w:id="221" w:name="_Toc292559373"/>
      <w:r>
        <w:rPr>
          <w:rFonts w:ascii="宋体" w:hAnsi="宋体" w:eastAsia="宋体"/>
          <w:color w:val="000000" w:themeColor="text1"/>
          <w:kern w:val="0"/>
          <w:szCs w:val="21"/>
          <w14:textFill>
            <w14:solidFill>
              <w14:schemeClr w14:val="tx1"/>
            </w14:solidFill>
          </w14:textFill>
        </w:rPr>
        <w:t>8.4.2 承包人采购</w:t>
      </w:r>
      <w:r>
        <w:rPr>
          <w:rFonts w:ascii="宋体" w:hAnsi="宋体" w:eastAsia="宋体"/>
          <w:color w:val="000000" w:themeColor="text1"/>
          <w:szCs w:val="21"/>
          <w14:textFill>
            <w14:solidFill>
              <w14:schemeClr w14:val="tx1"/>
            </w14:solidFill>
          </w14:textFill>
        </w:rPr>
        <w:t>材料与</w:t>
      </w:r>
      <w:r>
        <w:rPr>
          <w:rFonts w:ascii="宋体" w:hAnsi="宋体" w:eastAsia="宋体"/>
          <w:color w:val="000000" w:themeColor="text1"/>
          <w:kern w:val="0"/>
          <w:szCs w:val="21"/>
          <w14:textFill>
            <w14:solidFill>
              <w14:schemeClr w14:val="tx1"/>
            </w14:solidFill>
          </w14:textFill>
        </w:rPr>
        <w:t>工程</w:t>
      </w:r>
      <w:r>
        <w:rPr>
          <w:rFonts w:ascii="宋体" w:hAnsi="宋体" w:eastAsia="宋体"/>
          <w:color w:val="000000" w:themeColor="text1"/>
          <w:szCs w:val="21"/>
          <w14:textFill>
            <w14:solidFill>
              <w14:schemeClr w14:val="tx1"/>
            </w14:solidFill>
          </w14:textFill>
        </w:rPr>
        <w:t>设备的保管与使用：</w:t>
      </w:r>
      <w:bookmarkEnd w:id="220"/>
      <w:bookmarkEnd w:id="221"/>
      <w:r>
        <w:rPr>
          <w:rFonts w:ascii="宋体" w:hAnsi="宋体" w:eastAsia="宋体"/>
          <w:color w:val="000000" w:themeColor="text1"/>
          <w:szCs w:val="21"/>
          <w:u w:val="single"/>
          <w14:textFill>
            <w14:solidFill>
              <w14:schemeClr w14:val="tx1"/>
            </w14:solidFill>
          </w14:textFill>
        </w:rPr>
        <w:t>执行通用条款。</w:t>
      </w:r>
    </w:p>
    <w:p w14:paraId="2366C1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 施工设备和临时设施</w:t>
      </w:r>
    </w:p>
    <w:p w14:paraId="194DFE75">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8.8.1 承包人提供的施工设备和临时设施</w:t>
      </w:r>
    </w:p>
    <w:p w14:paraId="27F08217">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关于修建临时设施费用承担的约定：</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2F2D4A4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8.6 样品</w:t>
      </w:r>
    </w:p>
    <w:p w14:paraId="2BABE25A">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8.6.1</w:t>
      </w:r>
      <w:r>
        <w:rPr>
          <w:rFonts w:ascii="宋体" w:hAnsi="宋体" w:eastAsia="宋体"/>
          <w:color w:val="000000" w:themeColor="text1"/>
          <w:kern w:val="0"/>
          <w:szCs w:val="21"/>
          <w14:textFill>
            <w14:solidFill>
              <w14:schemeClr w14:val="tx1"/>
            </w14:solidFill>
          </w14:textFill>
        </w:rPr>
        <w:tab/>
      </w:r>
      <w:r>
        <w:rPr>
          <w:rFonts w:ascii="宋体" w:hAnsi="宋体" w:eastAsia="宋体"/>
          <w:color w:val="000000" w:themeColor="text1"/>
          <w:kern w:val="0"/>
          <w:szCs w:val="21"/>
          <w14:textFill>
            <w14:solidFill>
              <w14:schemeClr w14:val="tx1"/>
            </w14:solidFill>
          </w14:textFill>
        </w:rPr>
        <w:t>样品的报送</w:t>
      </w:r>
      <w:r>
        <w:rPr>
          <w:rFonts w:hint="eastAsia" w:ascii="宋体" w:hAnsi="宋体" w:eastAsia="宋体"/>
          <w:color w:val="000000" w:themeColor="text1"/>
          <w:kern w:val="0"/>
          <w:szCs w:val="21"/>
          <w14:textFill>
            <w14:solidFill>
              <w14:schemeClr w14:val="tx1"/>
            </w14:solidFill>
          </w14:textFill>
        </w:rPr>
        <w:t>与封存</w:t>
      </w:r>
    </w:p>
    <w:p w14:paraId="42DEE8B0">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需要承包人报送样品的材料或工程设备，样品的种类、名称、规格、数量要求：</w:t>
      </w:r>
      <w:r>
        <w:rPr>
          <w:rFonts w:hint="eastAsia" w:ascii="宋体" w:hAnsi="宋体" w:eastAsia="宋体"/>
          <w:color w:val="000000" w:themeColor="text1"/>
          <w:szCs w:val="21"/>
          <w:u w:val="single"/>
          <w14:textFill>
            <w14:solidFill>
              <w14:schemeClr w14:val="tx1"/>
            </w14:solidFill>
          </w14:textFill>
        </w:rPr>
        <w:t>所有主材和设备</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3E50B9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 施工设备和临时设施</w:t>
      </w:r>
    </w:p>
    <w:p w14:paraId="54053F2A">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8.8.1 承包人提供的施工设备和临时设施</w:t>
      </w:r>
    </w:p>
    <w:p w14:paraId="7014298F">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关于修建临时设施费用承担的约定：</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14:paraId="3DDE3913">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222" w:name="_Toc351203641"/>
      <w:r>
        <w:rPr>
          <w:rFonts w:hint="eastAsia" w:ascii="宋体" w:hAnsi="宋体" w:cs="黑体"/>
          <w:color w:val="000000" w:themeColor="text1"/>
          <w14:textFill>
            <w14:solidFill>
              <w14:schemeClr w14:val="tx1"/>
            </w14:solidFill>
          </w14:textFill>
        </w:rPr>
        <w:t>9</w:t>
      </w:r>
      <w:bookmarkEnd w:id="199"/>
      <w:bookmarkEnd w:id="200"/>
      <w:bookmarkEnd w:id="201"/>
      <w:bookmarkStart w:id="223" w:name="_Toc304295559"/>
      <w:bookmarkStart w:id="224" w:name="_Toc312677495"/>
      <w:bookmarkStart w:id="225" w:name="_Toc303539139"/>
      <w:bookmarkStart w:id="226" w:name="_Toc300934982"/>
      <w:bookmarkStart w:id="227" w:name="_Toc312678021"/>
      <w:bookmarkStart w:id="228" w:name="_Toc297123533"/>
      <w:bookmarkStart w:id="229" w:name="_Toc297216192"/>
      <w:bookmarkStart w:id="230" w:name="_Toc267251428"/>
      <w:bookmarkStart w:id="231" w:name="_Toc296503173"/>
      <w:bookmarkStart w:id="232" w:name="_Toc292559883"/>
      <w:bookmarkStart w:id="233" w:name="_Toc292559378"/>
      <w:bookmarkStart w:id="234" w:name="_Toc296891001"/>
      <w:bookmarkStart w:id="235" w:name="_Toc296346674"/>
      <w:bookmarkStart w:id="236" w:name="_Toc267251427"/>
      <w:bookmarkStart w:id="237" w:name="_Toc296944512"/>
      <w:bookmarkStart w:id="238" w:name="_Toc297048359"/>
      <w:bookmarkStart w:id="239" w:name="_Toc296347172"/>
      <w:bookmarkStart w:id="240" w:name="_Toc296891213"/>
      <w:bookmarkStart w:id="241" w:name="_Toc297120473"/>
      <w:r>
        <w:rPr>
          <w:rFonts w:hint="eastAsia" w:ascii="宋体" w:hAnsi="宋体" w:cs="黑体"/>
          <w:color w:val="000000" w:themeColor="text1"/>
          <w14:textFill>
            <w14:solidFill>
              <w14:schemeClr w14:val="tx1"/>
            </w14:solidFill>
          </w14:textFill>
        </w:rPr>
        <w:t>. 试验与检验</w:t>
      </w:r>
      <w:bookmarkEnd w:id="222"/>
    </w:p>
    <w:bookmarkEnd w:id="223"/>
    <w:bookmarkEnd w:id="224"/>
    <w:bookmarkEnd w:id="225"/>
    <w:bookmarkEnd w:id="226"/>
    <w:bookmarkEnd w:id="227"/>
    <w:bookmarkEnd w:id="228"/>
    <w:bookmarkEnd w:id="229"/>
    <w:p w14:paraId="66E5AE6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w:t>
      </w:r>
      <w:bookmarkStart w:id="242" w:name="_Toc312677496"/>
      <w:bookmarkStart w:id="243" w:name="_Toc303539140"/>
      <w:bookmarkStart w:id="244" w:name="_Toc312678022"/>
      <w:bookmarkStart w:id="245" w:name="_Toc304295560"/>
      <w:bookmarkStart w:id="246" w:name="_Toc297216193"/>
      <w:bookmarkStart w:id="247" w:name="_Toc297123534"/>
      <w:bookmarkStart w:id="248" w:name="_Toc300934983"/>
      <w:r>
        <w:rPr>
          <w:rFonts w:ascii="宋体" w:hAnsi="宋体" w:eastAsia="宋体"/>
          <w:color w:val="000000" w:themeColor="text1"/>
          <w:szCs w:val="21"/>
          <w14:textFill>
            <w14:solidFill>
              <w14:schemeClr w14:val="tx1"/>
            </w14:solidFill>
          </w14:textFill>
        </w:rPr>
        <w:t>.1试验设备与试验人员</w:t>
      </w:r>
    </w:p>
    <w:bookmarkEnd w:id="242"/>
    <w:bookmarkEnd w:id="243"/>
    <w:bookmarkEnd w:id="244"/>
    <w:bookmarkEnd w:id="245"/>
    <w:bookmarkEnd w:id="246"/>
    <w:bookmarkEnd w:id="247"/>
    <w:bookmarkEnd w:id="248"/>
    <w:p w14:paraId="5A512A9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w:t>
      </w:r>
      <w:bookmarkStart w:id="249" w:name="_Toc312677497"/>
      <w:bookmarkStart w:id="250" w:name="_Toc297216194"/>
      <w:bookmarkStart w:id="251" w:name="_Toc303539141"/>
      <w:bookmarkStart w:id="252" w:name="_Toc304295561"/>
      <w:bookmarkStart w:id="253" w:name="_Toc312678023"/>
      <w:bookmarkStart w:id="254" w:name="_Toc300934984"/>
      <w:bookmarkStart w:id="255" w:name="_Toc297123535"/>
      <w:bookmarkStart w:id="256" w:name="_Toc318581174"/>
      <w:r>
        <w:rPr>
          <w:rFonts w:ascii="宋体" w:hAnsi="宋体" w:eastAsia="宋体"/>
          <w:color w:val="000000" w:themeColor="text1"/>
          <w:szCs w:val="21"/>
          <w14:textFill>
            <w14:solidFill>
              <w14:schemeClr w14:val="tx1"/>
            </w14:solidFill>
          </w14:textFill>
        </w:rPr>
        <w:t>.1.2 试验设备</w:t>
      </w:r>
    </w:p>
    <w:p w14:paraId="2AB4080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施工现场需要配置的试验场所：</w:t>
      </w:r>
      <w:bookmarkEnd w:id="249"/>
      <w:bookmarkEnd w:id="250"/>
      <w:bookmarkEnd w:id="251"/>
      <w:bookmarkEnd w:id="252"/>
      <w:bookmarkEnd w:id="253"/>
      <w:bookmarkEnd w:id="254"/>
      <w:bookmarkEnd w:id="255"/>
      <w:bookmarkStart w:id="257" w:name="_Toc312678024"/>
      <w:bookmarkStart w:id="258" w:name="_Toc300934985"/>
      <w:bookmarkStart w:id="259" w:name="_Toc297216195"/>
      <w:bookmarkStart w:id="260" w:name="_Toc297123536"/>
      <w:bookmarkStart w:id="261" w:name="_Toc312677498"/>
      <w:bookmarkStart w:id="262" w:name="_Toc303539142"/>
      <w:bookmarkStart w:id="263" w:name="_Toc304295562"/>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 xml:space="preserve"> </w:t>
      </w:r>
    </w:p>
    <w:p w14:paraId="0B4319F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施工现场需要配备的试验设备：</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5DA4CCB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施工现场需要具备的其他试验条件：</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77EB6A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9.4 现场工艺试验</w:t>
      </w:r>
      <w:r>
        <w:rPr>
          <w:rFonts w:hint="eastAsia" w:ascii="宋体" w:hAnsi="宋体" w:eastAsia="宋体"/>
          <w:color w:val="000000" w:themeColor="text1"/>
          <w:szCs w:val="21"/>
          <w14:textFill>
            <w14:solidFill>
              <w14:schemeClr w14:val="tx1"/>
            </w14:solidFill>
          </w14:textFill>
        </w:rPr>
        <w:t xml:space="preserve"> </w:t>
      </w:r>
    </w:p>
    <w:p w14:paraId="1656C89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现场工艺试验的有关约定：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256"/>
    <w:bookmarkEnd w:id="257"/>
    <w:bookmarkEnd w:id="258"/>
    <w:bookmarkEnd w:id="259"/>
    <w:bookmarkEnd w:id="260"/>
    <w:bookmarkEnd w:id="261"/>
    <w:bookmarkEnd w:id="262"/>
    <w:bookmarkEnd w:id="263"/>
    <w:p w14:paraId="3805BAC8">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264" w:name="_Toc351203642"/>
      <w:r>
        <w:rPr>
          <w:rFonts w:hint="eastAsia" w:ascii="宋体" w:hAnsi="宋体" w:cs="黑体"/>
          <w:color w:val="000000" w:themeColor="text1"/>
          <w14:textFill>
            <w14:solidFill>
              <w14:schemeClr w14:val="tx1"/>
            </w14:solidFill>
          </w14:textFill>
        </w:rPr>
        <w:t>1</w:t>
      </w:r>
      <w:bookmarkEnd w:id="230"/>
      <w:bookmarkEnd w:id="231"/>
      <w:bookmarkEnd w:id="232"/>
      <w:bookmarkEnd w:id="233"/>
      <w:bookmarkEnd w:id="234"/>
      <w:bookmarkEnd w:id="235"/>
      <w:bookmarkEnd w:id="236"/>
      <w:bookmarkEnd w:id="237"/>
      <w:bookmarkEnd w:id="238"/>
      <w:bookmarkEnd w:id="239"/>
      <w:bookmarkEnd w:id="240"/>
      <w:bookmarkEnd w:id="241"/>
      <w:bookmarkStart w:id="265" w:name="_Toc296347192"/>
      <w:bookmarkStart w:id="266" w:name="_Toc296346694"/>
      <w:bookmarkStart w:id="267" w:name="_Toc292559903"/>
      <w:bookmarkStart w:id="268" w:name="_Toc297048379"/>
      <w:bookmarkStart w:id="269" w:name="_Toc304295566"/>
      <w:bookmarkStart w:id="270" w:name="_Toc296944532"/>
      <w:bookmarkStart w:id="271" w:name="_Toc300934989"/>
      <w:bookmarkStart w:id="272" w:name="_Toc296503193"/>
      <w:bookmarkStart w:id="273" w:name="_Toc296891233"/>
      <w:bookmarkStart w:id="274" w:name="_Toc297123540"/>
      <w:bookmarkStart w:id="275" w:name="_Toc303539146"/>
      <w:bookmarkStart w:id="276" w:name="_Toc292559398"/>
      <w:bookmarkStart w:id="277" w:name="_Toc297216199"/>
      <w:bookmarkStart w:id="278" w:name="_Toc297120493"/>
      <w:bookmarkStart w:id="279" w:name="_Toc296891021"/>
      <w:bookmarkStart w:id="280" w:name="_Toc312678025"/>
      <w:bookmarkStart w:id="281" w:name="_Toc312677499"/>
      <w:bookmarkStart w:id="282" w:name="_Toc267251440"/>
      <w:bookmarkStart w:id="283" w:name="_Toc267251433"/>
      <w:bookmarkStart w:id="284" w:name="_Toc267251439"/>
      <w:bookmarkStart w:id="285" w:name="_Toc267251441"/>
      <w:bookmarkStart w:id="286" w:name="_Toc267251435"/>
      <w:bookmarkStart w:id="287" w:name="_Toc267251437"/>
      <w:bookmarkStart w:id="288" w:name="_Toc267251442"/>
      <w:r>
        <w:rPr>
          <w:rFonts w:hint="eastAsia" w:ascii="宋体" w:hAnsi="宋体" w:cs="黑体"/>
          <w:color w:val="000000" w:themeColor="text1"/>
          <w14:textFill>
            <w14:solidFill>
              <w14:schemeClr w14:val="tx1"/>
            </w14:solidFill>
          </w14:textFill>
        </w:rPr>
        <w:t>0. 变更</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bookmarkEnd w:id="280"/>
    <w:bookmarkEnd w:id="281"/>
    <w:p w14:paraId="22BBA021">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289" w:name="_Toc297048380"/>
      <w:bookmarkStart w:id="290" w:name="_Toc296891022"/>
      <w:bookmarkStart w:id="291" w:name="_Toc312677500"/>
      <w:bookmarkStart w:id="292" w:name="_Toc297123541"/>
      <w:bookmarkStart w:id="293" w:name="_Toc296347193"/>
      <w:bookmarkStart w:id="294" w:name="_Toc297120494"/>
      <w:bookmarkStart w:id="295" w:name="_Toc297216200"/>
      <w:bookmarkStart w:id="296" w:name="_Toc300934990"/>
      <w:bookmarkStart w:id="297" w:name="_Toc292559904"/>
      <w:bookmarkStart w:id="298" w:name="_Toc292559399"/>
      <w:bookmarkStart w:id="299" w:name="_Toc296503194"/>
      <w:bookmarkStart w:id="300" w:name="_Toc312678026"/>
      <w:bookmarkStart w:id="301" w:name="_Toc296944533"/>
      <w:bookmarkStart w:id="302" w:name="_Toc296346695"/>
      <w:bookmarkStart w:id="303" w:name="_Toc304295567"/>
      <w:bookmarkStart w:id="304" w:name="_Toc303539147"/>
      <w:bookmarkStart w:id="305" w:name="_Toc296891234"/>
      <w:r>
        <w:rPr>
          <w:rFonts w:ascii="宋体" w:hAnsi="宋体" w:eastAsia="宋体"/>
          <w:color w:val="000000" w:themeColor="text1"/>
          <w:szCs w:val="21"/>
          <w14:textFill>
            <w14:solidFill>
              <w14:schemeClr w14:val="tx1"/>
            </w14:solidFill>
          </w14:textFill>
        </w:rPr>
        <w:t>10.1变更的范围</w:t>
      </w:r>
    </w:p>
    <w:p w14:paraId="363F2F41">
      <w:pPr>
        <w:spacing w:line="400" w:lineRule="exact"/>
        <w:ind w:firstLine="6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关于变更的范围的约定</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除通用条款外，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685CED49">
      <w:pPr>
        <w:spacing w:line="400" w:lineRule="exact"/>
        <w:ind w:firstLine="600"/>
        <w:jc w:val="left"/>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任何变更的提出都应当依据合同或国家有关规范和标准提出。任何变更都必须取得发包人和监理的确认。</w:t>
      </w:r>
    </w:p>
    <w:p w14:paraId="6A37C5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10.4 变更估价</w:t>
      </w:r>
    </w:p>
    <w:p w14:paraId="71742FA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10.4.1 变更估价原则</w:t>
      </w:r>
    </w:p>
    <w:p w14:paraId="2900E1E7">
      <w:pPr>
        <w:widowControl/>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关于变更估价的约定:</w:t>
      </w:r>
    </w:p>
    <w:p w14:paraId="43FE6F2A">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在本工程施工过程中，若发生设计变更，清单中</w:t>
      </w:r>
      <w:r>
        <w:rPr>
          <w:rFonts w:hint="eastAsia" w:ascii="宋体" w:hAnsi="宋体" w:eastAsia="宋体"/>
          <w:color w:val="000000" w:themeColor="text1"/>
          <w:szCs w:val="21"/>
          <w:u w:val="single"/>
          <w14:textFill>
            <w14:solidFill>
              <w14:schemeClr w14:val="tx1"/>
            </w14:solidFill>
          </w14:textFill>
        </w:rPr>
        <w:t>工程量偏差，漏项及新增变更项目</w:t>
      </w:r>
      <w:r>
        <w:rPr>
          <w:rFonts w:ascii="宋体" w:hAnsi="宋体" w:eastAsia="宋体"/>
          <w:color w:val="000000" w:themeColor="text1"/>
          <w:szCs w:val="21"/>
          <w:u w:val="single"/>
          <w14:textFill>
            <w14:solidFill>
              <w14:schemeClr w14:val="tx1"/>
            </w14:solidFill>
          </w14:textFill>
        </w:rPr>
        <w:t>发生时，工程量以实际签证量为准</w:t>
      </w:r>
      <w:r>
        <w:rPr>
          <w:rFonts w:hint="eastAsia" w:ascii="宋体" w:hAnsi="宋体" w:eastAsia="宋体"/>
          <w:color w:val="000000" w:themeColor="text1"/>
          <w:szCs w:val="21"/>
          <w:u w:val="single"/>
          <w14:textFill>
            <w14:solidFill>
              <w14:schemeClr w14:val="tx1"/>
            </w14:solidFill>
          </w14:textFill>
        </w:rPr>
        <w:t>，所</w:t>
      </w:r>
      <w:r>
        <w:rPr>
          <w:rFonts w:ascii="宋体" w:hAnsi="宋体" w:eastAsia="宋体"/>
          <w:color w:val="000000" w:themeColor="text1"/>
          <w:szCs w:val="21"/>
          <w:u w:val="single"/>
          <w14:textFill>
            <w14:solidFill>
              <w14:schemeClr w14:val="tx1"/>
            </w14:solidFill>
          </w14:textFill>
        </w:rPr>
        <w:t>发生的工程量按</w:t>
      </w:r>
      <w:r>
        <w:rPr>
          <w:rFonts w:hint="eastAsia" w:ascii="宋体" w:hAnsi="宋体" w:eastAsia="宋体"/>
          <w:color w:val="000000" w:themeColor="text1"/>
          <w:szCs w:val="21"/>
          <w:u w:val="single"/>
          <w14:textFill>
            <w14:solidFill>
              <w14:schemeClr w14:val="tx1"/>
            </w14:solidFill>
          </w14:textFill>
        </w:rPr>
        <w:t>合同授予时双方确认的综合单价进行</w:t>
      </w:r>
      <w:r>
        <w:rPr>
          <w:rFonts w:ascii="宋体" w:hAnsi="宋体" w:eastAsia="宋体"/>
          <w:color w:val="000000" w:themeColor="text1"/>
          <w:szCs w:val="21"/>
          <w:u w:val="single"/>
          <w14:textFill>
            <w14:solidFill>
              <w14:schemeClr w14:val="tx1"/>
            </w14:solidFill>
          </w14:textFill>
        </w:rPr>
        <w:t>结算。</w:t>
      </w:r>
    </w:p>
    <w:p w14:paraId="5F17DD2D">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）变更合同价款其对应的综合单价按下列方法进行调整：</w:t>
      </w:r>
    </w:p>
    <w:p w14:paraId="7B1B50A3">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①合同中已有适用于变更工程的价格，按相应项目合同已确认的综合单价办理结算；</w:t>
      </w:r>
    </w:p>
    <w:p w14:paraId="194C4383">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②合同中只有类似于变更工程的价格，只调整相应的主材费，主材单价按投标文件主材价格计算，若投标文件中无相同主材单价时，由发承包双方共同认质认价。</w:t>
      </w:r>
    </w:p>
    <w:p w14:paraId="5BEB4421">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③合同中没有适用或类似于工程变更的价格，</w:t>
      </w:r>
      <w:r>
        <w:rPr>
          <w:rFonts w:ascii="宋体" w:hAnsi="宋体" w:eastAsia="宋体"/>
          <w:color w:val="000000" w:themeColor="text1"/>
          <w:szCs w:val="21"/>
          <w:u w:val="single"/>
          <w14:textFill>
            <w14:solidFill>
              <w14:schemeClr w14:val="tx1"/>
            </w14:solidFill>
          </w14:textFill>
        </w:rPr>
        <w:t>按招标文件编制</w:t>
      </w:r>
      <w:r>
        <w:rPr>
          <w:rFonts w:hint="eastAsia" w:ascii="宋体" w:hAnsi="宋体" w:eastAsia="宋体"/>
          <w:color w:val="000000" w:themeColor="text1"/>
          <w:szCs w:val="21"/>
          <w:u w:val="single"/>
          <w14:textFill>
            <w14:solidFill>
              <w14:schemeClr w14:val="tx1"/>
            </w14:solidFill>
          </w14:textFill>
        </w:rPr>
        <w:t>招标最高限</w:t>
      </w:r>
      <w:r>
        <w:rPr>
          <w:rFonts w:ascii="宋体" w:hAnsi="宋体" w:eastAsia="宋体"/>
          <w:color w:val="000000" w:themeColor="text1"/>
          <w:szCs w:val="21"/>
          <w:u w:val="single"/>
          <w14:textFill>
            <w14:solidFill>
              <w14:schemeClr w14:val="tx1"/>
            </w14:solidFill>
          </w14:textFill>
        </w:rPr>
        <w:t>价综合单价的原则</w:t>
      </w:r>
      <w:r>
        <w:rPr>
          <w:rFonts w:hint="eastAsia" w:ascii="宋体" w:hAnsi="宋体" w:eastAsia="宋体"/>
          <w:color w:val="000000" w:themeColor="text1"/>
          <w:szCs w:val="21"/>
          <w:u w:val="single"/>
          <w14:textFill>
            <w14:solidFill>
              <w14:schemeClr w14:val="tx1"/>
            </w14:solidFill>
          </w14:textFill>
        </w:rPr>
        <w:t>组</w:t>
      </w:r>
      <w:r>
        <w:rPr>
          <w:rFonts w:ascii="宋体" w:hAnsi="宋体" w:eastAsia="宋体"/>
          <w:color w:val="000000" w:themeColor="text1"/>
          <w:szCs w:val="21"/>
          <w:u w:val="single"/>
          <w14:textFill>
            <w14:solidFill>
              <w14:schemeClr w14:val="tx1"/>
            </w14:solidFill>
          </w14:textFill>
        </w:rPr>
        <w:t>价</w:t>
      </w:r>
      <w:r>
        <w:rPr>
          <w:rFonts w:hint="eastAsia" w:ascii="宋体" w:hAnsi="宋体" w:eastAsia="宋体"/>
          <w:color w:val="000000" w:themeColor="text1"/>
          <w:szCs w:val="21"/>
          <w:u w:val="single"/>
          <w14:textFill>
            <w14:solidFill>
              <w14:schemeClr w14:val="tx1"/>
            </w14:solidFill>
          </w14:textFill>
        </w:rPr>
        <w:t>。</w:t>
      </w:r>
    </w:p>
    <w:p w14:paraId="78907974">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（4）新增工程量相应</w:t>
      </w:r>
      <w:r>
        <w:rPr>
          <w:rFonts w:ascii="宋体" w:hAnsi="宋体" w:eastAsia="宋体"/>
          <w:color w:val="000000" w:themeColor="text1"/>
          <w:szCs w:val="21"/>
          <w:u w:val="single"/>
          <w14:textFill>
            <w14:solidFill>
              <w14:schemeClr w14:val="tx1"/>
            </w14:solidFill>
          </w14:textFill>
        </w:rPr>
        <w:t>措施项目费按以下</w:t>
      </w:r>
      <w:r>
        <w:rPr>
          <w:rFonts w:hint="eastAsia" w:ascii="宋体" w:hAnsi="宋体" w:eastAsia="宋体"/>
          <w:color w:val="000000" w:themeColor="text1"/>
          <w:szCs w:val="21"/>
          <w:u w:val="single"/>
          <w14:textFill>
            <w14:solidFill>
              <w14:schemeClr w14:val="tx1"/>
            </w14:solidFill>
          </w14:textFill>
        </w:rPr>
        <w:t>办法</w:t>
      </w:r>
      <w:r>
        <w:rPr>
          <w:rFonts w:ascii="宋体" w:hAnsi="宋体" w:eastAsia="宋体"/>
          <w:color w:val="000000" w:themeColor="text1"/>
          <w:szCs w:val="21"/>
          <w:u w:val="single"/>
          <w14:textFill>
            <w14:solidFill>
              <w14:schemeClr w14:val="tx1"/>
            </w14:solidFill>
          </w14:textFill>
        </w:rPr>
        <w:t>调整：</w:t>
      </w:r>
      <w:r>
        <w:rPr>
          <w:rFonts w:hint="eastAsia" w:ascii="宋体" w:hAnsi="宋体" w:eastAsia="宋体"/>
          <w:color w:val="000000" w:themeColor="text1"/>
          <w:szCs w:val="21"/>
          <w:u w:val="single"/>
          <w14:textFill>
            <w14:solidFill>
              <w14:schemeClr w14:val="tx1"/>
            </w14:solidFill>
          </w14:textFill>
        </w:rPr>
        <w:t>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6CD1309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Start w:id="306" w:name="_Toc292559402"/>
      <w:bookmarkStart w:id="307" w:name="_Toc297123544"/>
      <w:bookmarkStart w:id="308" w:name="_Toc300934993"/>
      <w:bookmarkStart w:id="309" w:name="_Toc296347196"/>
      <w:bookmarkStart w:id="310" w:name="_Toc296503197"/>
      <w:bookmarkStart w:id="311" w:name="_Toc297048383"/>
      <w:bookmarkStart w:id="312" w:name="_Toc292559907"/>
      <w:bookmarkStart w:id="313" w:name="_Toc303539150"/>
      <w:bookmarkStart w:id="314" w:name="_Toc297216203"/>
      <w:bookmarkStart w:id="315" w:name="_Toc297120497"/>
      <w:bookmarkStart w:id="316" w:name="_Toc296346698"/>
      <w:bookmarkStart w:id="317" w:name="_Toc296891237"/>
      <w:bookmarkStart w:id="318" w:name="_Toc296891025"/>
      <w:bookmarkStart w:id="319" w:name="_Toc296944536"/>
      <w:bookmarkStart w:id="320" w:name="_Toc304295570"/>
      <w:bookmarkStart w:id="321" w:name="_Toc312677503"/>
      <w:bookmarkStart w:id="322" w:name="_Toc312678029"/>
      <w:r>
        <w:rPr>
          <w:rFonts w:ascii="宋体" w:hAnsi="宋体" w:eastAsia="宋体"/>
          <w:color w:val="000000" w:themeColor="text1"/>
          <w:szCs w:val="21"/>
          <w14:textFill>
            <w14:solidFill>
              <w14:schemeClr w14:val="tx1"/>
            </w14:solidFill>
          </w14:textFill>
        </w:rPr>
        <w:t>0.5承</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Start w:id="323" w:name="_Toc297048389"/>
      <w:bookmarkStart w:id="324" w:name="_Toc303539151"/>
      <w:bookmarkStart w:id="325" w:name="_Toc296891031"/>
      <w:bookmarkStart w:id="326" w:name="_Toc296347202"/>
      <w:bookmarkStart w:id="327" w:name="_Toc296503203"/>
      <w:bookmarkStart w:id="328" w:name="_Toc292559913"/>
      <w:bookmarkStart w:id="329" w:name="_Toc296346704"/>
      <w:bookmarkStart w:id="330" w:name="_Toc297123545"/>
      <w:bookmarkStart w:id="331" w:name="_Toc300934994"/>
      <w:bookmarkStart w:id="332" w:name="_Toc296891243"/>
      <w:bookmarkStart w:id="333" w:name="_Toc297216204"/>
      <w:bookmarkStart w:id="334" w:name="_Toc296944542"/>
      <w:bookmarkStart w:id="335" w:name="_Toc292559408"/>
      <w:bookmarkStart w:id="336" w:name="_Toc297120503"/>
      <w:r>
        <w:rPr>
          <w:rFonts w:ascii="宋体" w:hAnsi="宋体" w:eastAsia="宋体"/>
          <w:color w:val="000000" w:themeColor="text1"/>
          <w:szCs w:val="21"/>
          <w14:textFill>
            <w14:solidFill>
              <w14:schemeClr w14:val="tx1"/>
            </w14:solidFill>
          </w14:textFill>
        </w:rPr>
        <w:t>包人的合理化建议</w:t>
      </w:r>
    </w:p>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14:paraId="7A02DC8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监理人审查承包人合理化建议的期限：</w:t>
      </w:r>
      <w:r>
        <w:rPr>
          <w:rFonts w:hint="eastAsia" w:ascii="宋体" w:hAnsi="宋体" w:eastAsia="宋体"/>
          <w:color w:val="000000" w:themeColor="text1"/>
          <w:szCs w:val="21"/>
          <w:u w:val="single"/>
          <w14:textFill>
            <w14:solidFill>
              <w14:schemeClr w14:val="tx1"/>
            </w14:solidFill>
          </w14:textFill>
        </w:rPr>
        <w:t>7天内审核完毕</w:t>
      </w:r>
      <w:r>
        <w:rPr>
          <w:rFonts w:ascii="宋体" w:hAnsi="宋体" w:eastAsia="宋体"/>
          <w:color w:val="000000" w:themeColor="text1"/>
          <w:szCs w:val="21"/>
          <w14:textFill>
            <w14:solidFill>
              <w14:schemeClr w14:val="tx1"/>
            </w14:solidFill>
          </w14:textFill>
        </w:rPr>
        <w:t>。</w:t>
      </w:r>
    </w:p>
    <w:p w14:paraId="04071EB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发包人审批承包人合理化建议的期限：</w:t>
      </w:r>
      <w:r>
        <w:rPr>
          <w:rFonts w:hint="eastAsia" w:ascii="宋体" w:hAnsi="宋体" w:eastAsia="宋体"/>
          <w:color w:val="000000" w:themeColor="text1"/>
          <w:szCs w:val="21"/>
          <w:u w:val="single"/>
          <w14:textFill>
            <w14:solidFill>
              <w14:schemeClr w14:val="tx1"/>
            </w14:solidFill>
          </w14:textFill>
        </w:rPr>
        <w:t>14天内审核完毕</w:t>
      </w:r>
      <w:r>
        <w:rPr>
          <w:rFonts w:ascii="宋体" w:hAnsi="宋体" w:eastAsia="宋体"/>
          <w:color w:val="000000" w:themeColor="text1"/>
          <w:szCs w:val="21"/>
          <w14:textFill>
            <w14:solidFill>
              <w14:schemeClr w14:val="tx1"/>
            </w14:solidFill>
          </w14:textFill>
        </w:rPr>
        <w:t>。</w:t>
      </w:r>
    </w:p>
    <w:p w14:paraId="1F3EFC1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承</w:t>
      </w:r>
      <w:bookmarkStart w:id="337" w:name="_Toc297216205"/>
      <w:bookmarkStart w:id="338" w:name="_Toc303539152"/>
      <w:bookmarkStart w:id="339" w:name="_Toc297123546"/>
      <w:bookmarkStart w:id="340" w:name="_Toc296891244"/>
      <w:bookmarkStart w:id="341" w:name="_Toc297120504"/>
      <w:bookmarkStart w:id="342" w:name="_Toc312678030"/>
      <w:bookmarkStart w:id="343" w:name="_Toc292559409"/>
      <w:bookmarkStart w:id="344" w:name="_Toc297048390"/>
      <w:bookmarkStart w:id="345" w:name="_Toc300934995"/>
      <w:bookmarkStart w:id="346" w:name="_Toc296944543"/>
      <w:bookmarkStart w:id="347" w:name="_Toc296503204"/>
      <w:bookmarkStart w:id="348" w:name="_Toc296346705"/>
      <w:bookmarkStart w:id="349" w:name="_Toc304295571"/>
      <w:bookmarkStart w:id="350" w:name="_Toc312677504"/>
      <w:bookmarkStart w:id="351" w:name="_Toc296891032"/>
      <w:bookmarkStart w:id="352" w:name="_Toc296347203"/>
      <w:bookmarkStart w:id="353" w:name="_Toc292559914"/>
      <w:bookmarkStart w:id="354" w:name="_Toc318581175"/>
      <w:r>
        <w:rPr>
          <w:rFonts w:ascii="宋体" w:hAnsi="宋体" w:eastAsia="宋体"/>
          <w:color w:val="000000" w:themeColor="text1"/>
          <w:szCs w:val="21"/>
          <w14:textFill>
            <w14:solidFill>
              <w14:schemeClr w14:val="tx1"/>
            </w14:solidFill>
          </w14:textFill>
        </w:rPr>
        <w:t>包人提出的合理化建议降低了合同价格或者提高了工程经济效益的奖励的方法和金额为：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14:paraId="43EE697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355" w:name="_Toc296891027"/>
      <w:bookmarkStart w:id="356" w:name="_Toc303539154"/>
      <w:bookmarkStart w:id="357" w:name="_Toc296346700"/>
      <w:bookmarkStart w:id="358" w:name="_Toc296347198"/>
      <w:bookmarkStart w:id="359" w:name="_Toc296944538"/>
      <w:bookmarkStart w:id="360" w:name="_Toc292559909"/>
      <w:bookmarkStart w:id="361" w:name="_Toc297048385"/>
      <w:bookmarkStart w:id="362" w:name="_Toc312677507"/>
      <w:bookmarkStart w:id="363" w:name="_Toc297123548"/>
      <w:bookmarkStart w:id="364" w:name="_Toc296503199"/>
      <w:bookmarkStart w:id="365" w:name="_Toc304295574"/>
      <w:bookmarkStart w:id="366" w:name="_Toc297120499"/>
      <w:bookmarkStart w:id="367" w:name="_Toc312678033"/>
      <w:bookmarkStart w:id="368" w:name="_Toc292559404"/>
      <w:bookmarkStart w:id="369" w:name="_Toc300934997"/>
      <w:bookmarkStart w:id="370" w:name="_Toc296891239"/>
      <w:bookmarkStart w:id="371" w:name="_Toc297216207"/>
      <w:r>
        <w:rPr>
          <w:rFonts w:ascii="宋体" w:hAnsi="宋体" w:eastAsia="宋体"/>
          <w:color w:val="000000" w:themeColor="text1"/>
          <w:szCs w:val="21"/>
          <w14:textFill>
            <w14:solidFill>
              <w14:schemeClr w14:val="tx1"/>
            </w14:solidFill>
          </w14:textFill>
        </w:rPr>
        <w:t>0.7 暂估价</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Pr>
          <w:rFonts w:hint="eastAsia" w:ascii="宋体" w:hAnsi="宋体" w:eastAsia="宋体"/>
          <w:color w:val="000000" w:themeColor="text1"/>
          <w:szCs w:val="21"/>
          <w14:textFill>
            <w14:solidFill>
              <w14:schemeClr w14:val="tx1"/>
            </w14:solidFill>
          </w14:textFill>
        </w:rPr>
        <w:t>：无</w:t>
      </w:r>
      <w:bookmarkStart w:id="372" w:name="_Toc312677508"/>
      <w:bookmarkStart w:id="373" w:name="_Toc312678034"/>
      <w:bookmarkStart w:id="374" w:name="_Toc318581176"/>
      <w:r>
        <w:rPr>
          <w:rFonts w:hint="eastAsia" w:ascii="宋体" w:hAnsi="宋体" w:eastAsia="宋体"/>
          <w:color w:val="000000" w:themeColor="text1"/>
          <w:kern w:val="0"/>
          <w:szCs w:val="21"/>
          <w14:textFill>
            <w14:solidFill>
              <w14:schemeClr w14:val="tx1"/>
            </w14:solidFill>
          </w14:textFill>
        </w:rPr>
        <w:t>。</w:t>
      </w:r>
    </w:p>
    <w:bookmarkEnd w:id="372"/>
    <w:bookmarkEnd w:id="373"/>
    <w:bookmarkEnd w:id="374"/>
    <w:p w14:paraId="1306A72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375" w:name="_Toc312677509"/>
      <w:bookmarkStart w:id="376" w:name="_Toc318581177"/>
      <w:bookmarkStart w:id="377" w:name="_Toc312678035"/>
      <w:r>
        <w:rPr>
          <w:rFonts w:ascii="宋体" w:hAnsi="宋体" w:eastAsia="宋体"/>
          <w:color w:val="000000" w:themeColor="text1"/>
          <w:szCs w:val="21"/>
          <w14:textFill>
            <w14:solidFill>
              <w14:schemeClr w14:val="tx1"/>
            </w14:solidFill>
          </w14:textFill>
        </w:rPr>
        <w:t>0.7.1 依法必须招标的暂估价项目</w:t>
      </w:r>
    </w:p>
    <w:bookmarkEnd w:id="375"/>
    <w:bookmarkEnd w:id="376"/>
    <w:bookmarkEnd w:id="377"/>
    <w:p w14:paraId="4FE276B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对于依法必须招标的暂估价项目的确认和批准采取第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种方式确定。</w:t>
      </w:r>
    </w:p>
    <w:p w14:paraId="5EDD053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10.7.2 不属于依法必须招标的暂估价项目</w:t>
      </w:r>
    </w:p>
    <w:p w14:paraId="29D16DF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对于不属于依法必须招标的暂估价项目的确认和批准采取</w:t>
      </w:r>
      <w:r>
        <w:rPr>
          <w:rFonts w:hint="eastAsia" w:ascii="宋体" w:hAnsi="宋体" w:eastAsia="宋体"/>
          <w:color w:val="000000" w:themeColor="text1"/>
          <w:szCs w:val="21"/>
          <w:u w:val="single"/>
          <w14:textFill>
            <w14:solidFill>
              <w14:schemeClr w14:val="tx1"/>
            </w14:solidFill>
          </w14:textFill>
        </w:rPr>
        <w:t>除非发包人书面通知承包人直接实施外，均由发包人实施</w:t>
      </w:r>
      <w:r>
        <w:rPr>
          <w:rFonts w:ascii="宋体" w:hAnsi="宋体" w:eastAsia="宋体"/>
          <w:color w:val="000000" w:themeColor="text1"/>
          <w:szCs w:val="21"/>
          <w14:textFill>
            <w14:solidFill>
              <w14:schemeClr w14:val="tx1"/>
            </w14:solidFill>
          </w14:textFill>
        </w:rPr>
        <w:t>方式确定。</w:t>
      </w:r>
    </w:p>
    <w:p w14:paraId="50D36098">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第3种方式：</w:t>
      </w:r>
      <w:r>
        <w:rPr>
          <w:rFonts w:ascii="宋体" w:hAnsi="宋体" w:eastAsia="宋体"/>
          <w:color w:val="000000" w:themeColor="text1"/>
          <w:kern w:val="0"/>
          <w:szCs w:val="21"/>
          <w14:textFill>
            <w14:solidFill>
              <w14:schemeClr w14:val="tx1"/>
            </w14:solidFill>
          </w14:textFill>
        </w:rPr>
        <w:t>承包人直接实施的暂估价项目</w:t>
      </w:r>
    </w:p>
    <w:p w14:paraId="29D5742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承包人直接实施的暂估</w:t>
      </w:r>
      <w:r>
        <w:rPr>
          <w:rFonts w:ascii="宋体" w:hAnsi="宋体" w:eastAsia="宋体"/>
          <w:color w:val="000000" w:themeColor="text1"/>
          <w:szCs w:val="21"/>
          <w:highlight w:val="none"/>
          <w14:textFill>
            <w14:solidFill>
              <w14:schemeClr w14:val="tx1"/>
            </w14:solidFill>
          </w14:textFill>
        </w:rPr>
        <w:t>价项目的约定：</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ascii="宋体" w:hAnsi="宋体" w:eastAsia="宋体"/>
          <w:color w:val="000000" w:themeColor="text1"/>
          <w:szCs w:val="21"/>
          <w:highlight w:val="none"/>
          <w14:textFill>
            <w14:solidFill>
              <w14:schemeClr w14:val="tx1"/>
            </w14:solidFill>
          </w14:textFill>
        </w:rPr>
        <w:t>。</w:t>
      </w:r>
    </w:p>
    <w:p w14:paraId="6F7765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10.8 暂列金额</w:t>
      </w:r>
    </w:p>
    <w:p w14:paraId="0AB2323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暂列金额</w:t>
      </w:r>
    </w:p>
    <w:p w14:paraId="1AD799BB">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合同当事人关于暂列金额使用的约定：</w:t>
      </w:r>
      <w:r>
        <w:rPr>
          <w:rFonts w:ascii="宋体" w:hAnsi="宋体" w:eastAsia="宋体"/>
          <w:color w:val="000000" w:themeColor="text1"/>
          <w:szCs w:val="21"/>
          <w:u w:val="single"/>
          <w14:textFill>
            <w14:solidFill>
              <w14:schemeClr w14:val="tx1"/>
            </w14:solidFill>
          </w14:textFill>
        </w:rPr>
        <w:t>暂列金是指发包人为可能发生工程变更而暂列的金额，包括施工过程中设计变更引起新的清单项目或工程数量增加等需要增加的金额。暂列金是</w:t>
      </w:r>
      <w:r>
        <w:rPr>
          <w:rFonts w:hint="eastAsia" w:ascii="宋体" w:hAnsi="宋体" w:eastAsia="宋体"/>
          <w:color w:val="000000" w:themeColor="text1"/>
          <w:szCs w:val="21"/>
          <w:u w:val="single"/>
          <w14:textFill>
            <w14:solidFill>
              <w14:schemeClr w14:val="tx1"/>
            </w14:solidFill>
          </w14:textFill>
        </w:rPr>
        <w:t>发包</w:t>
      </w:r>
      <w:r>
        <w:rPr>
          <w:rFonts w:ascii="宋体" w:hAnsi="宋体" w:eastAsia="宋体"/>
          <w:color w:val="000000" w:themeColor="text1"/>
          <w:szCs w:val="21"/>
          <w:u w:val="single"/>
          <w14:textFill>
            <w14:solidFill>
              <w14:schemeClr w14:val="tx1"/>
            </w14:solidFill>
          </w14:textFill>
        </w:rPr>
        <w:t>人自行确定设立的，</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无权使用此笔费用。此费用按实际发生</w:t>
      </w:r>
      <w:r>
        <w:rPr>
          <w:rFonts w:hint="eastAsia" w:ascii="宋体" w:hAnsi="宋体" w:eastAsia="宋体"/>
          <w:color w:val="000000" w:themeColor="text1"/>
          <w:szCs w:val="21"/>
          <w:u w:val="single"/>
          <w14:textFill>
            <w14:solidFill>
              <w14:schemeClr w14:val="tx1"/>
            </w14:solidFill>
          </w14:textFill>
        </w:rPr>
        <w:t>时</w:t>
      </w:r>
      <w:r>
        <w:rPr>
          <w:rFonts w:ascii="宋体" w:hAnsi="宋体" w:eastAsia="宋体"/>
          <w:color w:val="000000" w:themeColor="text1"/>
          <w:szCs w:val="21"/>
          <w:u w:val="single"/>
          <w14:textFill>
            <w14:solidFill>
              <w14:schemeClr w14:val="tx1"/>
            </w14:solidFill>
          </w14:textFill>
        </w:rPr>
        <w:t>经</w:t>
      </w:r>
      <w:r>
        <w:rPr>
          <w:rFonts w:hint="eastAsia" w:ascii="宋体" w:hAnsi="宋体" w:eastAsia="宋体"/>
          <w:color w:val="000000" w:themeColor="text1"/>
          <w:szCs w:val="21"/>
          <w:u w:val="single"/>
          <w14:textFill>
            <w14:solidFill>
              <w14:schemeClr w14:val="tx1"/>
            </w14:solidFill>
          </w14:textFill>
        </w:rPr>
        <w:t>发包</w:t>
      </w:r>
      <w:r>
        <w:rPr>
          <w:rFonts w:ascii="宋体" w:hAnsi="宋体" w:eastAsia="宋体"/>
          <w:color w:val="000000" w:themeColor="text1"/>
          <w:szCs w:val="21"/>
          <w:u w:val="single"/>
          <w14:textFill>
            <w14:solidFill>
              <w14:schemeClr w14:val="tx1"/>
            </w14:solidFill>
          </w14:textFill>
        </w:rPr>
        <w:t>人签证后确定全部使用、部分使用或不使用。</w:t>
      </w:r>
    </w:p>
    <w:p w14:paraId="02CF6622">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378" w:name="_Toc351203643"/>
      <w:r>
        <w:rPr>
          <w:rFonts w:hint="eastAsia" w:ascii="宋体" w:hAnsi="宋体" w:cs="黑体"/>
          <w:color w:val="000000" w:themeColor="text1"/>
          <w14:textFill>
            <w14:solidFill>
              <w14:schemeClr w14:val="tx1"/>
            </w14:solidFill>
          </w14:textFill>
        </w:rPr>
        <w:t>11. 价格调整</w:t>
      </w:r>
      <w:bookmarkEnd w:id="378"/>
    </w:p>
    <w:bookmarkEnd w:id="282"/>
    <w:bookmarkEnd w:id="283"/>
    <w:bookmarkEnd w:id="284"/>
    <w:bookmarkEnd w:id="285"/>
    <w:bookmarkEnd w:id="286"/>
    <w:bookmarkEnd w:id="287"/>
    <w:p w14:paraId="13ABD58D">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379" w:name="_Toc297048391"/>
      <w:bookmarkStart w:id="380" w:name="_Toc296891033"/>
      <w:bookmarkStart w:id="381" w:name="_Toc300935000"/>
      <w:bookmarkStart w:id="382" w:name="_Toc304295577"/>
      <w:bookmarkStart w:id="383" w:name="_Toc297120505"/>
      <w:bookmarkStart w:id="384" w:name="_Toc296944540"/>
      <w:bookmarkStart w:id="385" w:name="_Toc292559410"/>
      <w:bookmarkStart w:id="386" w:name="_Toc296503201"/>
      <w:bookmarkStart w:id="387" w:name="_Toc296891245"/>
      <w:bookmarkStart w:id="388" w:name="_Toc312678039"/>
      <w:bookmarkStart w:id="389" w:name="_Toc297123550"/>
      <w:bookmarkStart w:id="390" w:name="_Toc292559915"/>
      <w:bookmarkStart w:id="391" w:name="_Toc296347200"/>
      <w:bookmarkStart w:id="392" w:name="_Toc296891241"/>
      <w:bookmarkStart w:id="393" w:name="_Toc296891029"/>
      <w:bookmarkStart w:id="394" w:name="_Toc297048387"/>
      <w:bookmarkStart w:id="395" w:name="_Toc292559406"/>
      <w:bookmarkStart w:id="396" w:name="_Toc296346706"/>
      <w:bookmarkStart w:id="397" w:name="_Toc296346702"/>
      <w:bookmarkStart w:id="398" w:name="_Toc296944544"/>
      <w:bookmarkStart w:id="399" w:name="_Toc303539157"/>
      <w:bookmarkStart w:id="400" w:name="_Toc297216209"/>
      <w:bookmarkStart w:id="401" w:name="_Toc297120501"/>
      <w:bookmarkStart w:id="402" w:name="_Toc296347204"/>
      <w:bookmarkStart w:id="403" w:name="_Toc292559911"/>
      <w:bookmarkStart w:id="404" w:name="_Toc296503205"/>
      <w:bookmarkStart w:id="405" w:name="_Toc351203644"/>
      <w:bookmarkStart w:id="406" w:name="_Toc312678040"/>
      <w:bookmarkStart w:id="407" w:name="_Toc304295579"/>
      <w:bookmarkStart w:id="408" w:name="_Toc297216211"/>
      <w:bookmarkStart w:id="409" w:name="_Toc303539159"/>
      <w:bookmarkStart w:id="410" w:name="_Toc297123552"/>
      <w:bookmarkStart w:id="411" w:name="_Toc300935002"/>
      <w:r>
        <w:rPr>
          <w:rFonts w:ascii="宋体" w:hAnsi="宋体" w:eastAsia="宋体"/>
          <w:color w:val="000000" w:themeColor="text1"/>
          <w:szCs w:val="21"/>
          <w14:textFill>
            <w14:solidFill>
              <w14:schemeClr w14:val="tx1"/>
            </w14:solidFill>
          </w14:textFill>
        </w:rPr>
        <w:t>11.1 市场价格波动引起的调整</w:t>
      </w:r>
    </w:p>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14:paraId="5A0BFD2E">
      <w:pPr>
        <w:spacing w:line="400" w:lineRule="exact"/>
        <w:ind w:firstLine="420" w:firstLineChars="200"/>
        <w:jc w:val="left"/>
        <w:rPr>
          <w:rFonts w:ascii="宋体" w:hAnsi="宋体" w:eastAsia="宋体" w:cs="Times New Roman"/>
          <w:color w:val="000000" w:themeColor="text1"/>
          <w:szCs w:val="21"/>
          <w:u w:val="single"/>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市场价格波动是否调整合同价格的约定：</w:t>
      </w:r>
      <w:r>
        <w:rPr>
          <w:rFonts w:hint="eastAsia" w:ascii="宋体" w:hAnsi="宋体" w:eastAsia="宋体" w:cs="Times New Roman"/>
          <w:color w:val="000000" w:themeColor="text1"/>
          <w:szCs w:val="21"/>
          <w:u w:val="single"/>
          <w14:textFill>
            <w14:solidFill>
              <w14:schemeClr w14:val="tx1"/>
            </w14:solidFill>
          </w14:textFill>
        </w:rPr>
        <w:t xml:space="preserve"> /</w:t>
      </w:r>
    </w:p>
    <w:p w14:paraId="6FB3F6ED">
      <w:pPr>
        <w:spacing w:line="400" w:lineRule="exact"/>
        <w:ind w:firstLine="420" w:firstLineChars="200"/>
        <w:jc w:val="left"/>
        <w:rPr>
          <w:rFonts w:ascii="宋体" w:hAnsi="宋体" w:eastAsia="宋体" w:cs="黑体"/>
          <w:color w:val="000000" w:themeColor="text1"/>
          <w14:textFill>
            <w14:solidFill>
              <w14:schemeClr w14:val="tx1"/>
            </w14:solidFill>
          </w14:textFill>
        </w:rPr>
      </w:pPr>
      <w:r>
        <w:rPr>
          <w:rFonts w:hint="eastAsia" w:ascii="宋体" w:hAnsi="宋体" w:eastAsia="宋体" w:cs="黑体"/>
          <w:color w:val="000000" w:themeColor="text1"/>
          <w14:textFill>
            <w14:solidFill>
              <w14:schemeClr w14:val="tx1"/>
            </w14:solidFill>
          </w14:textFill>
        </w:rPr>
        <w:t>合同价格、计量与支付</w:t>
      </w:r>
      <w:bookmarkEnd w:id="405"/>
    </w:p>
    <w:p w14:paraId="25147854">
      <w:pPr>
        <w:spacing w:line="400" w:lineRule="exact"/>
        <w:ind w:firstLine="420" w:firstLineChars="200"/>
        <w:jc w:val="left"/>
        <w:rPr>
          <w:rFonts w:ascii="宋体" w:hAnsi="宋体" w:eastAsia="宋体" w:cs="黑体"/>
          <w:color w:val="000000" w:themeColor="text1"/>
          <w14:textFill>
            <w14:solidFill>
              <w14:schemeClr w14:val="tx1"/>
            </w14:solidFill>
          </w14:textFill>
        </w:rPr>
      </w:pPr>
      <w:bookmarkStart w:id="412" w:name="_Toc267251461"/>
      <w:bookmarkStart w:id="413" w:name="_Toc292559411"/>
      <w:bookmarkStart w:id="414" w:name="_Toc292559916"/>
      <w:bookmarkStart w:id="415" w:name="_Toc296891246"/>
      <w:bookmarkStart w:id="416" w:name="_Toc296503206"/>
      <w:bookmarkStart w:id="417" w:name="_Toc296347205"/>
      <w:bookmarkStart w:id="418" w:name="_Toc296891034"/>
      <w:bookmarkStart w:id="419" w:name="_Toc296944545"/>
      <w:bookmarkStart w:id="420" w:name="_Toc297120506"/>
      <w:bookmarkStart w:id="421" w:name="_Toc297048392"/>
      <w:bookmarkStart w:id="422" w:name="_Toc296346707"/>
      <w:r>
        <w:rPr>
          <w:rFonts w:ascii="宋体" w:hAnsi="宋体" w:eastAsia="宋体"/>
          <w:color w:val="000000" w:themeColor="text1"/>
          <w:szCs w:val="21"/>
          <w14:textFill>
            <w14:solidFill>
              <w14:schemeClr w14:val="tx1"/>
            </w14:solidFill>
          </w14:textFill>
        </w:rPr>
        <w:t>12.1 合</w:t>
      </w:r>
      <w:bookmarkEnd w:id="412"/>
      <w:bookmarkEnd w:id="413"/>
      <w:bookmarkEnd w:id="414"/>
      <w:r>
        <w:rPr>
          <w:rFonts w:ascii="宋体" w:hAnsi="宋体" w:eastAsia="宋体"/>
          <w:color w:val="000000" w:themeColor="text1"/>
          <w:szCs w:val="21"/>
          <w14:textFill>
            <w14:solidFill>
              <w14:schemeClr w14:val="tx1"/>
            </w14:solidFill>
          </w14:textFill>
        </w:rPr>
        <w:t>同价</w:t>
      </w:r>
      <w:bookmarkEnd w:id="415"/>
      <w:bookmarkEnd w:id="416"/>
      <w:bookmarkEnd w:id="417"/>
      <w:bookmarkEnd w:id="418"/>
      <w:bookmarkEnd w:id="419"/>
      <w:bookmarkEnd w:id="420"/>
      <w:bookmarkEnd w:id="421"/>
      <w:bookmarkEnd w:id="422"/>
      <w:r>
        <w:rPr>
          <w:rFonts w:ascii="宋体" w:hAnsi="宋体" w:eastAsia="宋体"/>
          <w:color w:val="000000" w:themeColor="text1"/>
          <w:szCs w:val="21"/>
          <w14:textFill>
            <w14:solidFill>
              <w14:schemeClr w14:val="tx1"/>
            </w14:solidFill>
          </w14:textFill>
        </w:rPr>
        <w:t>格形式</w:t>
      </w:r>
    </w:p>
    <w:bookmarkEnd w:id="288"/>
    <w:bookmarkEnd w:id="406"/>
    <w:bookmarkEnd w:id="407"/>
    <w:bookmarkEnd w:id="408"/>
    <w:bookmarkEnd w:id="409"/>
    <w:bookmarkEnd w:id="410"/>
    <w:bookmarkEnd w:id="411"/>
    <w:p w14:paraId="6E90A636">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423" w:name="_Toc292559412"/>
      <w:bookmarkStart w:id="424" w:name="_Toc296891247"/>
      <w:bookmarkStart w:id="425" w:name="_Toc297048393"/>
      <w:bookmarkStart w:id="426" w:name="_Toc296346708"/>
      <w:bookmarkStart w:id="427" w:name="_Toc296347206"/>
      <w:bookmarkStart w:id="428" w:name="_Toc296891035"/>
      <w:bookmarkStart w:id="429" w:name="_Toc292559917"/>
      <w:bookmarkStart w:id="430" w:name="_Toc296944546"/>
      <w:bookmarkStart w:id="431" w:name="_Toc297120507"/>
      <w:bookmarkStart w:id="432" w:name="_Toc296503207"/>
      <w:bookmarkStart w:id="433" w:name="_Toc351203645"/>
      <w:bookmarkStart w:id="434" w:name="_Toc292559424"/>
      <w:bookmarkStart w:id="435" w:name="_Toc312678053"/>
      <w:bookmarkStart w:id="436" w:name="_Toc297123564"/>
      <w:bookmarkStart w:id="437" w:name="_Toc296503219"/>
      <w:bookmarkStart w:id="438" w:name="_Toc304295593"/>
      <w:bookmarkStart w:id="439" w:name="_Toc303539172"/>
      <w:bookmarkStart w:id="440" w:name="_Toc297216223"/>
      <w:bookmarkStart w:id="441" w:name="_Toc296891259"/>
      <w:bookmarkStart w:id="442" w:name="_Toc292559929"/>
      <w:bookmarkStart w:id="443" w:name="_Toc297048405"/>
      <w:bookmarkStart w:id="444" w:name="_Toc296346720"/>
      <w:bookmarkStart w:id="445" w:name="_Toc296347218"/>
      <w:bookmarkStart w:id="446" w:name="_Toc296944558"/>
      <w:bookmarkStart w:id="447" w:name="_Toc296891047"/>
      <w:bookmarkStart w:id="448" w:name="_Toc297120519"/>
      <w:bookmarkStart w:id="449" w:name="_Toc300935015"/>
      <w:r>
        <w:rPr>
          <w:rFonts w:hint="eastAsia" w:ascii="宋体" w:hAnsi="宋体" w:eastAsia="宋体"/>
          <w:color w:val="000000" w:themeColor="text1"/>
          <w:szCs w:val="21"/>
          <w14:textFill>
            <w14:solidFill>
              <w14:schemeClr w14:val="tx1"/>
            </w14:solidFill>
          </w14:textFill>
        </w:rPr>
        <w:t>12.1.1综合单价合同。</w:t>
      </w:r>
    </w:p>
    <w:p w14:paraId="5CE4A90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综合单价包含的风险范围：</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人工费、材料费</w:t>
      </w:r>
      <w:r>
        <w:rPr>
          <w:rFonts w:hint="eastAsia" w:ascii="宋体" w:hAnsi="宋体" w:eastAsia="宋体"/>
          <w:color w:val="000000" w:themeColor="text1"/>
          <w:szCs w:val="21"/>
          <w:u w:val="single"/>
          <w14:textFill>
            <w14:solidFill>
              <w14:schemeClr w14:val="tx1"/>
            </w14:solidFill>
          </w14:textFill>
        </w:rPr>
        <w:t>（除暂定价）</w:t>
      </w:r>
      <w:r>
        <w:rPr>
          <w:rFonts w:ascii="宋体" w:hAnsi="宋体" w:eastAsia="宋体"/>
          <w:color w:val="000000" w:themeColor="text1"/>
          <w:szCs w:val="21"/>
          <w:u w:val="single"/>
          <w14:textFill>
            <w14:solidFill>
              <w14:schemeClr w14:val="tx1"/>
            </w14:solidFill>
          </w14:textFill>
        </w:rPr>
        <w:t>、机械费</w:t>
      </w:r>
      <w:r>
        <w:rPr>
          <w:rFonts w:hint="eastAsia" w:ascii="宋体" w:hAnsi="宋体" w:eastAsia="宋体"/>
          <w:color w:val="000000" w:themeColor="text1"/>
          <w:szCs w:val="21"/>
          <w:u w:val="single"/>
          <w14:textFill>
            <w14:solidFill>
              <w14:schemeClr w14:val="tx1"/>
            </w14:solidFill>
          </w14:textFill>
        </w:rPr>
        <w:t>市场</w:t>
      </w:r>
      <w:r>
        <w:rPr>
          <w:rFonts w:ascii="宋体" w:hAnsi="宋体" w:eastAsia="宋体"/>
          <w:color w:val="000000" w:themeColor="text1"/>
          <w:szCs w:val="21"/>
          <w:u w:val="single"/>
          <w14:textFill>
            <w14:solidFill>
              <w14:schemeClr w14:val="tx1"/>
            </w14:solidFill>
          </w14:textFill>
        </w:rPr>
        <w:t>价格浮动</w:t>
      </w:r>
      <w:r>
        <w:rPr>
          <w:rFonts w:hint="eastAsia" w:ascii="宋体" w:hAnsi="宋体" w:eastAsia="宋体"/>
          <w:color w:val="000000" w:themeColor="text1"/>
          <w:szCs w:val="21"/>
          <w:u w:val="single"/>
          <w14:textFill>
            <w14:solidFill>
              <w14:schemeClr w14:val="tx1"/>
            </w14:solidFill>
          </w14:textFill>
        </w:rPr>
        <w:t>；2、本合同专用条款第17.1条规定以外的自然灾害费用； 3、政府部门公布的工程价格的动态管理的变化，包括水电价格的变化。以上风险承包人自主考虑，风险费用包含在投标报价中，工程结算时不再调整。</w:t>
      </w:r>
    </w:p>
    <w:p w14:paraId="7ED403A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风险费用的计算方法：</w:t>
      </w:r>
      <w:r>
        <w:rPr>
          <w:rFonts w:hint="eastAsia" w:ascii="宋体" w:hAnsi="宋体" w:eastAsia="宋体"/>
          <w:color w:val="000000" w:themeColor="text1"/>
          <w:szCs w:val="21"/>
          <w:u w:val="single"/>
          <w14:textFill>
            <w14:solidFill>
              <w14:schemeClr w14:val="tx1"/>
            </w14:solidFill>
          </w14:textFill>
        </w:rPr>
        <w:t>应由承包人承担的风险费用已由承包人根据自身经验作了充分估计并已计入合同协议确定的合同价款中，风险费用未单独计列的，应认为已经包含在合同价款中</w:t>
      </w:r>
      <w:r>
        <w:rPr>
          <w:rFonts w:ascii="宋体" w:hAnsi="宋体" w:eastAsia="宋体"/>
          <w:color w:val="000000" w:themeColor="text1"/>
          <w:szCs w:val="21"/>
          <w14:textFill>
            <w14:solidFill>
              <w14:schemeClr w14:val="tx1"/>
            </w14:solidFill>
          </w14:textFill>
        </w:rPr>
        <w:t>。</w:t>
      </w:r>
    </w:p>
    <w:p w14:paraId="2B929A3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风险范围以外合同价格的调整方法：</w:t>
      </w:r>
      <w:r>
        <w:rPr>
          <w:rFonts w:hint="eastAsia" w:ascii="宋体" w:hAnsi="宋体" w:eastAsia="宋体"/>
          <w:color w:val="000000" w:themeColor="text1"/>
          <w:szCs w:val="21"/>
          <w:u w:val="single"/>
          <w14:textFill>
            <w14:solidFill>
              <w14:schemeClr w14:val="tx1"/>
            </w14:solidFill>
          </w14:textFill>
        </w:rPr>
        <w:t>1、暂定价材料按实际购买价与暂定价的差价据实调整； 2、本合同实施期间因招标文件分部分项工程量清单漏项或工程量偏差、设计变更及相关签证等非承包人原因引起工程项目、工程量变化，其工程量按实际发生并经监理工程师及发包人签证认可，变更合同价款按下列方法进行：（</w:t>
      </w:r>
      <w:r>
        <w:rPr>
          <w:rFonts w:ascii="宋体" w:hAnsi="宋体" w:eastAsia="宋体"/>
          <w:color w:val="000000" w:themeColor="text1"/>
          <w:szCs w:val="21"/>
          <w:u w:val="single"/>
          <w14:textFill>
            <w14:solidFill>
              <w14:schemeClr w14:val="tx1"/>
            </w14:solidFill>
          </w14:textFill>
        </w:rPr>
        <w:t>a</w:t>
      </w:r>
      <w:r>
        <w:rPr>
          <w:rFonts w:hint="eastAsia" w:ascii="宋体" w:hAnsi="宋体" w:eastAsia="宋体"/>
          <w:color w:val="000000" w:themeColor="text1"/>
          <w:szCs w:val="21"/>
          <w:u w:val="single"/>
          <w14:textFill>
            <w14:solidFill>
              <w14:schemeClr w14:val="tx1"/>
            </w14:solidFill>
          </w14:textFill>
        </w:rPr>
        <w:t>）清单或合同中已有适用于新工程量清单项目的价格，按已有价格变更合同价款；（</w:t>
      </w:r>
      <w:r>
        <w:rPr>
          <w:rFonts w:ascii="宋体" w:hAnsi="宋体" w:eastAsia="宋体"/>
          <w:color w:val="000000" w:themeColor="text1"/>
          <w:szCs w:val="21"/>
          <w:u w:val="single"/>
          <w14:textFill>
            <w14:solidFill>
              <w14:schemeClr w14:val="tx1"/>
            </w14:solidFill>
          </w14:textFill>
        </w:rPr>
        <w:t>b</w:t>
      </w:r>
      <w:r>
        <w:rPr>
          <w:rFonts w:hint="eastAsia" w:ascii="宋体" w:hAnsi="宋体" w:eastAsia="宋体"/>
          <w:color w:val="000000" w:themeColor="text1"/>
          <w:szCs w:val="21"/>
          <w:u w:val="single"/>
          <w14:textFill>
            <w14:solidFill>
              <w14:schemeClr w14:val="tx1"/>
            </w14:solidFill>
          </w14:textFill>
        </w:rPr>
        <w:t>）清单或合同中只有类似（施工工艺相同）于新工程量清单项目的价格，可以参照类似价格变更合同价款；（</w:t>
      </w:r>
      <w:r>
        <w:rPr>
          <w:rFonts w:ascii="宋体" w:hAnsi="宋体" w:eastAsia="宋体"/>
          <w:color w:val="000000" w:themeColor="text1"/>
          <w:szCs w:val="21"/>
          <w:u w:val="single"/>
          <w14:textFill>
            <w14:solidFill>
              <w14:schemeClr w14:val="tx1"/>
            </w14:solidFill>
          </w14:textFill>
        </w:rPr>
        <w:t>c</w:t>
      </w:r>
      <w:r>
        <w:rPr>
          <w:rFonts w:hint="eastAsia" w:ascii="宋体" w:hAnsi="宋体" w:eastAsia="宋体"/>
          <w:color w:val="000000" w:themeColor="text1"/>
          <w:szCs w:val="21"/>
          <w:u w:val="single"/>
          <w14:textFill>
            <w14:solidFill>
              <w14:schemeClr w14:val="tx1"/>
            </w14:solidFill>
          </w14:textFill>
        </w:rPr>
        <w:t>）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7EE5873E">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12.1.2合同价款调整：</w:t>
      </w:r>
    </w:p>
    <w:p w14:paraId="0A7C7C60">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（1）双方约定合同价款的其他调整因素：以按中标条件签订的施工合同为依据进行结算。</w:t>
      </w:r>
    </w:p>
    <w:p w14:paraId="5FB210E5">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在本工程施工过程中，若发生设计变更，以发包方工地工程师与监理工程师签证为依据，招标人审核为准，价款调整办法参照12.1.1条，中标报价中明显不合理的综合单价双方协商调整，由发包人重新审定后作为结算依据。</w:t>
      </w:r>
    </w:p>
    <w:p w14:paraId="26136952">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4F4EDB05">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（4）措施项目费用的调整：措施项目费一般不作调整，当出现如下情况时可作调整。</w:t>
      </w:r>
    </w:p>
    <w:p w14:paraId="65C4547C">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1）发包人更改已审定的施工方案（修正错误除外），引起措施项目费增加时予以增加，减少时不予减少；</w:t>
      </w:r>
    </w:p>
    <w:p w14:paraId="4039B2AE">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2）由于工程量变化引起措施项目费用增加时予以增加，减少时予以减少；</w:t>
      </w:r>
    </w:p>
    <w:p w14:paraId="38DAEE78">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3）措施项目费调整方法为承包人原中标价以综合单价计算的措施项目按本章中的12.1.1原则办理；承包人原中标价以系数计算的措施项目，按原中标系数计算。</w:t>
      </w:r>
    </w:p>
    <w:p w14:paraId="5BC7C35F">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（5）因不可抗力事件导致的费用，发、承包双方按以下原则分别承担并调整工程价款。</w:t>
      </w:r>
    </w:p>
    <w:p w14:paraId="58006204">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1）发、承包人人员伤亡由所在单位负责并承担费用；</w:t>
      </w:r>
    </w:p>
    <w:p w14:paraId="681FA351">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2）工程所需清理、修复费用，由发包人承担；</w:t>
      </w:r>
    </w:p>
    <w:p w14:paraId="154AB4D4">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3）承包人的施工机械设备损害及停工损失，由承包人承担。</w:t>
      </w:r>
    </w:p>
    <w:p w14:paraId="5CC1A669">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（6）材料市场价格波动引起的价款调整：不予调整。</w:t>
      </w:r>
    </w:p>
    <w:p w14:paraId="1A602831">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 xml:space="preserve">（7）暂定价的材料由发包人认质认价，差额以差价形式调整总价，暂定单价的材料或设备由发、承包人协商确认实际单价，实际单价与暂定价的差额以差价形式调整总价。 </w:t>
      </w:r>
    </w:p>
    <w:p w14:paraId="6360345B">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（8）</w:t>
      </w:r>
      <w:r>
        <w:rPr>
          <w:rFonts w:ascii="宋体" w:hAnsi="宋体" w:eastAsia="宋体"/>
          <w:color w:val="000000" w:themeColor="text1"/>
          <w:szCs w:val="21"/>
          <w14:textFill>
            <w14:solidFill>
              <w14:schemeClr w14:val="tx1"/>
            </w14:solidFill>
          </w14:textFill>
        </w:rPr>
        <w:t>人工费根据政府部门公布的最新文件进行调整，调整办法：最新文件工日单价与最高限价编制工日单价进行调差计入</w:t>
      </w:r>
    </w:p>
    <w:p w14:paraId="37625F26">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人工费调整：根据政府部门公布的最新文件进行调整，调整办法：最新文件工日单价与最高限价编制工日单价进行调差计入。</w:t>
      </w:r>
    </w:p>
    <w:p w14:paraId="487C72F9">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（9）其它项目费用以现场签证的事项和金额结算。</w:t>
      </w:r>
    </w:p>
    <w:p w14:paraId="6DF752B7">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（10）工程结算价＝合同价±工程量清单数量变更价款±设计变更价款±现场签证±差价。</w:t>
      </w:r>
    </w:p>
    <w:p w14:paraId="62B2C9B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 预付款</w:t>
      </w:r>
    </w:p>
    <w:bookmarkEnd w:id="423"/>
    <w:bookmarkEnd w:id="424"/>
    <w:bookmarkEnd w:id="425"/>
    <w:bookmarkEnd w:id="426"/>
    <w:bookmarkEnd w:id="427"/>
    <w:bookmarkEnd w:id="428"/>
    <w:bookmarkEnd w:id="429"/>
    <w:bookmarkEnd w:id="430"/>
    <w:bookmarkEnd w:id="431"/>
    <w:bookmarkEnd w:id="432"/>
    <w:p w14:paraId="3FC4D6C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12.2.1 预付款的支付</w:t>
      </w:r>
    </w:p>
    <w:p w14:paraId="331BB1E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预付款支付比例或金额：</w:t>
      </w:r>
    </w:p>
    <w:p w14:paraId="11679424">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合同签订发包人向承包人支付合同总价的</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%作为工程预付款，即人民币：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元。</w:t>
      </w:r>
    </w:p>
    <w:p w14:paraId="366AF4D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预付款支付期限：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签定了合同后</w:t>
      </w:r>
      <w:r>
        <w:rPr>
          <w:rFonts w:ascii="宋体" w:hAnsi="宋体" w:eastAsia="宋体"/>
          <w:color w:val="000000" w:themeColor="text1"/>
          <w:szCs w:val="21"/>
          <w:u w:val="single"/>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0个工作日内或不迟于约定的开工日期前7天、待承包人进场后</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9F280E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预付款扣回的方式：</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p>
    <w:p w14:paraId="2D08658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12.2.2 预付款担保</w:t>
      </w:r>
    </w:p>
    <w:p w14:paraId="7A315B1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承包人提交预付款担保的</w:t>
      </w:r>
      <w:r>
        <w:rPr>
          <w:rFonts w:hint="eastAsia" w:ascii="宋体" w:hAnsi="宋体" w:eastAsia="宋体"/>
          <w:color w:val="000000" w:themeColor="text1"/>
          <w:szCs w:val="21"/>
          <w14:textFill>
            <w14:solidFill>
              <w14:schemeClr w14:val="tx1"/>
            </w14:solidFill>
          </w14:textFill>
        </w:rPr>
        <w:t>期限及比例</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094AAD62">
      <w:pPr>
        <w:tabs>
          <w:tab w:val="left" w:pos="3686"/>
        </w:tabs>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担保时效：</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31595754">
      <w:pPr>
        <w:tabs>
          <w:tab w:val="left" w:pos="3686"/>
        </w:tabs>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预付款担保的形式为：</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A6493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 计量</w:t>
      </w:r>
    </w:p>
    <w:p w14:paraId="0EBFA0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12.3.1 计量原则</w:t>
      </w:r>
    </w:p>
    <w:p w14:paraId="25CF96F3">
      <w:pPr>
        <w:spacing w:line="400" w:lineRule="exact"/>
        <w:ind w:firstLine="420" w:firstLineChars="200"/>
        <w:jc w:val="left"/>
        <w:rPr>
          <w:rFonts w:hint="default" w:ascii="宋体" w:hAnsi="宋体" w:eastAsia="宋体"/>
          <w:color w:val="000000" w:themeColor="text1"/>
          <w:szCs w:val="21"/>
          <w:highlight w:val="yellow"/>
          <w:u w:val="single"/>
          <w:lang w:val="en-US" w:eastAsia="zh-CN"/>
          <w14:textFill>
            <w14:solidFill>
              <w14:schemeClr w14:val="tx1"/>
            </w14:solidFill>
          </w14:textFill>
        </w:rPr>
      </w:pPr>
      <w:r>
        <w:rPr>
          <w:rFonts w:ascii="宋体" w:hAnsi="宋体" w:eastAsia="宋体"/>
          <w:color w:val="000000" w:themeColor="text1"/>
          <w:szCs w:val="21"/>
          <w14:textFill>
            <w14:solidFill>
              <w14:schemeClr w14:val="tx1"/>
            </w14:solidFill>
          </w14:textFill>
        </w:rPr>
        <w:t>工程量计算规则</w:t>
      </w:r>
      <w:r>
        <w:rPr>
          <w:rFonts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p>
    <w:p w14:paraId="63BAF3C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12.3.2 计量周期</w:t>
      </w:r>
    </w:p>
    <w:p w14:paraId="19D2923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关于计量周期的约定：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按周计量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C22B1A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12.3.3 单价合同的计量</w:t>
      </w:r>
    </w:p>
    <w:p w14:paraId="10438E5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关于单价合同计量的约定：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14:textFill>
            <w14:solidFill>
              <w14:schemeClr w14:val="tx1"/>
            </w14:solidFill>
          </w14:textFill>
        </w:rPr>
        <w:t>。</w:t>
      </w:r>
    </w:p>
    <w:p w14:paraId="7F47049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12.3.4 总价合同的计量</w:t>
      </w:r>
    </w:p>
    <w:p w14:paraId="718CBF6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关于总价合同计量的约定：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C10F32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12.3.5总价合同采用支付分解表计量支付的，是否适用第</w:t>
      </w:r>
      <w:r>
        <w:rPr>
          <w:rFonts w:ascii="宋体" w:hAnsi="宋体" w:eastAsia="宋体"/>
          <w:color w:val="000000" w:themeColor="text1"/>
          <w:kern w:val="0"/>
          <w:szCs w:val="21"/>
          <w14:textFill>
            <w14:solidFill>
              <w14:schemeClr w14:val="tx1"/>
            </w14:solidFill>
          </w14:textFill>
        </w:rPr>
        <w:t xml:space="preserve">12.3.4 </w:t>
      </w:r>
      <w:r>
        <w:rPr>
          <w:rFonts w:ascii="宋体" w:hAnsi="宋体" w:eastAsia="宋体"/>
          <w:color w:val="000000" w:themeColor="text1"/>
          <w:szCs w:val="21"/>
          <w14:textFill>
            <w14:solidFill>
              <w14:schemeClr w14:val="tx1"/>
            </w14:solidFill>
          </w14:textFill>
        </w:rPr>
        <w:t>项</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总价合同的计量</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约定</w:t>
      </w:r>
      <w:r>
        <w:rPr>
          <w:rFonts w:hint="eastAsia" w:ascii="宋体" w:hAnsi="宋体" w:eastAsia="宋体"/>
          <w:color w:val="000000" w:themeColor="text1"/>
          <w:szCs w:val="21"/>
          <w14:textFill>
            <w14:solidFill>
              <w14:schemeClr w14:val="tx1"/>
            </w14:solidFill>
          </w14:textFill>
        </w:rPr>
        <w:t>进行计量：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C4A59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12.3.6 其他价格形式合同的计量</w:t>
      </w:r>
    </w:p>
    <w:p w14:paraId="6D7824F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其他价格形式的计量方式和程序：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D8B4D80">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450" w:name="_Toc297120511"/>
      <w:bookmarkStart w:id="451" w:name="_Toc296503211"/>
      <w:bookmarkStart w:id="452" w:name="_Toc297048397"/>
      <w:bookmarkStart w:id="453" w:name="_Toc297123556"/>
      <w:bookmarkStart w:id="454" w:name="_Toc296346712"/>
      <w:bookmarkStart w:id="455" w:name="_Toc296891039"/>
      <w:bookmarkStart w:id="456" w:name="_Toc292559921"/>
      <w:bookmarkStart w:id="457" w:name="_Toc296891251"/>
      <w:bookmarkStart w:id="458" w:name="_Toc296944550"/>
      <w:bookmarkStart w:id="459" w:name="_Toc296347210"/>
      <w:bookmarkStart w:id="460" w:name="_Toc300935006"/>
      <w:bookmarkStart w:id="461" w:name="_Toc292559416"/>
      <w:bookmarkStart w:id="462" w:name="_Toc303539163"/>
      <w:bookmarkStart w:id="463" w:name="_Toc297216215"/>
      <w:r>
        <w:rPr>
          <w:rFonts w:ascii="宋体" w:hAnsi="宋体" w:eastAsia="宋体"/>
          <w:color w:val="000000" w:themeColor="text1"/>
          <w:szCs w:val="21"/>
          <w14:textFill>
            <w14:solidFill>
              <w14:schemeClr w14:val="tx1"/>
            </w14:solidFill>
          </w14:textFill>
        </w:rPr>
        <w:t>12.4 工程进度款支付</w:t>
      </w:r>
    </w:p>
    <w:p w14:paraId="2C005F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12.4.1 付款周期</w:t>
      </w:r>
    </w:p>
    <w:p w14:paraId="1A25551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关于付款周期的约定：</w:t>
      </w:r>
    </w:p>
    <w:p w14:paraId="72254B54">
      <w:pPr>
        <w:spacing w:line="400" w:lineRule="exact"/>
        <w:ind w:firstLine="420" w:firstLineChars="200"/>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u w:val="single"/>
          <w14:textFill>
            <w14:solidFill>
              <w14:schemeClr w14:val="tx1"/>
            </w14:solidFill>
          </w14:textFill>
        </w:rPr>
        <w:t>（1）1、合同签订材料进场后，甲方向乙方支付合同价款的40%作为预付款。2、乙方完成全部工程量时，经甲方组织有关部门验收合格后，甲方向乙方支付至合同总价款的80%。3、经政府相关审计部门审计完成后，支付至审计结算价款的100%。</w:t>
      </w:r>
    </w:p>
    <w:p w14:paraId="245216A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）发包人在支付工程进度款前，承包人应按规定提前提供等额有效发票，发包人见票付款；审计结算后，提供全额税制票据。承包人不能提供的，发包人有权不支付工程款。</w:t>
      </w:r>
    </w:p>
    <w:p w14:paraId="157227A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12.4.2 进度付款申请单的编制</w:t>
      </w:r>
    </w:p>
    <w:p w14:paraId="778E10F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关于进度付款申请单编制的约定：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2B48F3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Pr>
          <w:rFonts w:ascii="宋体" w:hAnsi="宋体" w:eastAsia="宋体"/>
          <w:color w:val="000000" w:themeColor="text1"/>
          <w:szCs w:val="21"/>
          <w14:textFill>
            <w14:solidFill>
              <w14:schemeClr w14:val="tx1"/>
            </w14:solidFill>
          </w14:textFill>
        </w:rPr>
        <w:t>2.4.3 进度付款申请单的提交</w:t>
      </w:r>
    </w:p>
    <w:p w14:paraId="1A25A30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（1）单价合同进度付款申请单提交的约定</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01CE9E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（2）总价合同进度付款申请单提交的约定</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607197E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（3）其他价格形式合同进度付款申请单提交的约定：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6BFB7B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12.4.4 进度款审核和支付</w:t>
      </w:r>
    </w:p>
    <w:p w14:paraId="4FB1AF6A">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（1）监理人审查并报送发包人的期限：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14:textFill>
            <w14:solidFill>
              <w14:schemeClr w14:val="tx1"/>
            </w14:solidFill>
          </w14:textFill>
        </w:rPr>
        <w:t>。</w:t>
      </w:r>
    </w:p>
    <w:p w14:paraId="34411C8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发包人完成审批并签发进度款支付证书的期限：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7B6CA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（2）发包人支付进度款的期限：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天</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6ED184A">
      <w:pPr>
        <w:spacing w:line="400" w:lineRule="exact"/>
        <w:ind w:firstLine="525" w:firstLineChars="2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发包人逾期支付进度款的违约金的计算方式：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D5AA1C9">
      <w:pPr>
        <w:spacing w:line="400" w:lineRule="exact"/>
        <w:ind w:firstLine="525" w:firstLineChars="2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12.4.6 支付分解表的编制</w:t>
      </w:r>
    </w:p>
    <w:p w14:paraId="4D43B87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2、总价合同支付分解表的编制与审批：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C2A60B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3、单价合同的总价项目支付分解表的编制与审批：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C9AE20F">
      <w:pPr>
        <w:pStyle w:val="7"/>
        <w:spacing w:before="156" w:beforeLines="50" w:after="156" w:afterLines="50" w:line="400" w:lineRule="exact"/>
        <w:rPr>
          <w:rFonts w:ascii="宋体" w:hAnsi="宋体" w:cs="黑体"/>
          <w:color w:val="000000" w:themeColor="text1"/>
          <w14:textFill>
            <w14:solidFill>
              <w14:schemeClr w14:val="tx1"/>
            </w14:solidFill>
          </w14:textFill>
        </w:rPr>
      </w:pPr>
      <w:r>
        <w:rPr>
          <w:rFonts w:hint="eastAsia" w:ascii="宋体" w:hAnsi="宋体" w:cs="黑体"/>
          <w:color w:val="000000" w:themeColor="text1"/>
          <w14:textFill>
            <w14:solidFill>
              <w14:schemeClr w14:val="tx1"/>
            </w14:solidFill>
          </w14:textFill>
        </w:rPr>
        <w:t>13. 验收和工程试车</w:t>
      </w:r>
      <w:bookmarkEnd w:id="433"/>
    </w:p>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14:paraId="00E8921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13.1 分部分项工程验收</w:t>
      </w:r>
    </w:p>
    <w:p w14:paraId="08D8C73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13.1.2监理人不能按时进行验收时，应提前</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24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小时提交书面延期要求。</w:t>
      </w:r>
    </w:p>
    <w:p w14:paraId="6CAD13D4">
      <w:pPr>
        <w:spacing w:line="400" w:lineRule="exact"/>
        <w:ind w:firstLine="420" w:firstLineChars="200"/>
        <w:jc w:val="left"/>
        <w:rPr>
          <w:rFonts w:hint="eastAsia" w:ascii="宋体" w:hAnsi="宋体" w:eastAsia="宋体"/>
          <w:b/>
          <w:color w:val="000000" w:themeColor="text1"/>
          <w:szCs w:val="21"/>
          <w:lang w:val="en-US" w:eastAsia="zh-CN"/>
          <w14:textFill>
            <w14:solidFill>
              <w14:schemeClr w14:val="tx1"/>
            </w14:solidFill>
          </w14:textFill>
        </w:rPr>
      </w:pPr>
      <w:r>
        <w:rPr>
          <w:rFonts w:ascii="宋体" w:hAnsi="宋体" w:eastAsia="宋体"/>
          <w:color w:val="000000" w:themeColor="text1"/>
          <w:szCs w:val="21"/>
          <w14:textFill>
            <w14:solidFill>
              <w14:schemeClr w14:val="tx1"/>
            </w14:solidFill>
          </w14:textFill>
        </w:rPr>
        <w:t>关于延期最长不得超过：</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48</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w:t>
      </w:r>
      <w:r>
        <w:rPr>
          <w:rFonts w:hint="eastAsia" w:ascii="宋体" w:hAnsi="宋体" w:eastAsia="宋体"/>
          <w:color w:val="000000" w:themeColor="text1"/>
          <w:szCs w:val="21"/>
          <w:lang w:val="en-US" w:eastAsia="zh-CN"/>
          <w14:textFill>
            <w14:solidFill>
              <w14:schemeClr w14:val="tx1"/>
            </w14:solidFill>
          </w14:textFill>
        </w:rPr>
        <w:t xml:space="preserve"> </w:t>
      </w:r>
    </w:p>
    <w:p w14:paraId="6BFDDE65">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464" w:name="_Toc296891263"/>
      <w:bookmarkStart w:id="465" w:name="_Toc296346724"/>
      <w:bookmarkStart w:id="466" w:name="_Toc300935016"/>
      <w:bookmarkStart w:id="467" w:name="_Toc297123565"/>
      <w:bookmarkStart w:id="468" w:name="_Toc312678056"/>
      <w:bookmarkStart w:id="469" w:name="_Toc304295596"/>
      <w:bookmarkStart w:id="470" w:name="_Toc297048409"/>
      <w:bookmarkStart w:id="471" w:name="_Toc303539173"/>
      <w:bookmarkStart w:id="472" w:name="_Toc296503223"/>
      <w:bookmarkStart w:id="473" w:name="_Toc297120523"/>
      <w:bookmarkStart w:id="474" w:name="_Toc296891051"/>
      <w:bookmarkStart w:id="475" w:name="_Toc297216224"/>
      <w:bookmarkStart w:id="476" w:name="_Toc296347222"/>
      <w:bookmarkStart w:id="477" w:name="_Toc296944562"/>
      <w:bookmarkStart w:id="478" w:name="_Toc292559933"/>
      <w:bookmarkStart w:id="479" w:name="_Toc292559428"/>
      <w:bookmarkStart w:id="480" w:name="_Toc267251474"/>
      <w:bookmarkStart w:id="481" w:name="_Toc267251473"/>
      <w:bookmarkStart w:id="482" w:name="_Toc267251472"/>
      <w:bookmarkStart w:id="483" w:name="_Toc267251470"/>
      <w:bookmarkStart w:id="484" w:name="_Toc267251476"/>
      <w:bookmarkStart w:id="485" w:name="_Toc267251475"/>
      <w:bookmarkStart w:id="486" w:name="_Toc267251471"/>
      <w:r>
        <w:rPr>
          <w:rFonts w:ascii="宋体" w:hAnsi="宋体" w:eastAsia="宋体"/>
          <w:color w:val="000000" w:themeColor="text1"/>
          <w:szCs w:val="21"/>
          <w14:textFill>
            <w14:solidFill>
              <w14:schemeClr w14:val="tx1"/>
            </w14:solidFill>
          </w14:textFill>
        </w:rPr>
        <w:t>13.2 竣工验收</w:t>
      </w:r>
    </w:p>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14:paraId="56BACFB5">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487" w:name="_Toc280868704"/>
      <w:bookmarkStart w:id="488" w:name="_Toc280868705"/>
      <w:bookmarkStart w:id="489" w:name="_Toc280868706"/>
      <w:bookmarkStart w:id="490" w:name="_Toc280868707"/>
      <w:bookmarkStart w:id="491" w:name="_Toc280868708"/>
      <w:bookmarkStart w:id="492" w:name="_Toc280868709"/>
      <w:r>
        <w:rPr>
          <w:rFonts w:ascii="宋体" w:hAnsi="宋体" w:eastAsia="宋体"/>
          <w:color w:val="000000" w:themeColor="text1"/>
          <w:szCs w:val="21"/>
          <w14:textFill>
            <w14:solidFill>
              <w14:schemeClr w14:val="tx1"/>
            </w14:solidFill>
          </w14:textFill>
        </w:rPr>
        <w:t>13.2.2竣工验收程序</w:t>
      </w:r>
    </w:p>
    <w:bookmarkEnd w:id="487"/>
    <w:p w14:paraId="0C33D8B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关于竣工验收程序的约定：</w:t>
      </w:r>
      <w:r>
        <w:rPr>
          <w:rFonts w:hint="eastAsia" w:ascii="宋体" w:hAnsi="宋体" w:eastAsia="宋体" w:cs="宋体"/>
          <w:color w:val="000000" w:themeColor="text1"/>
          <w:szCs w:val="21"/>
          <w:u w:val="single"/>
          <w14:textFill>
            <w14:solidFill>
              <w14:schemeClr w14:val="tx1"/>
            </w14:solidFill>
          </w14:textFill>
        </w:rPr>
        <w:t>承包人按国家、陕西省、西安市相关规定，完成验收后，进行工程竣工验收。</w:t>
      </w:r>
      <w:r>
        <w:rPr>
          <w:rFonts w:ascii="宋体" w:hAnsi="宋体" w:eastAsia="宋体"/>
          <w:color w:val="000000" w:themeColor="text1"/>
          <w:szCs w:val="21"/>
          <w:u w:val="single"/>
          <w14:textFill>
            <w14:solidFill>
              <w14:schemeClr w14:val="tx1"/>
            </w14:solidFill>
          </w14:textFill>
        </w:rPr>
        <w:t>竣工验收后一个月内，</w:t>
      </w:r>
      <w:r>
        <w:rPr>
          <w:rFonts w:hint="eastAsia" w:ascii="宋体" w:hAnsi="宋体" w:eastAsia="宋体"/>
          <w:color w:val="000000" w:themeColor="text1"/>
          <w:szCs w:val="21"/>
          <w:u w:val="single"/>
          <w14:textFill>
            <w14:solidFill>
              <w14:schemeClr w14:val="tx1"/>
            </w14:solidFill>
          </w14:textFill>
        </w:rPr>
        <w:t>提交竣工图及完整资料文件四套。</w:t>
      </w:r>
    </w:p>
    <w:p w14:paraId="08C4B60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发包人不按照本项约定组织竣工验收、颁发工程接收证书的违约金的计算方法：</w:t>
      </w:r>
      <w:r>
        <w:rPr>
          <w:rFonts w:hint="eastAsia" w:ascii="宋体" w:hAnsi="宋体" w:eastAsia="宋体"/>
          <w:color w:val="000000" w:themeColor="text1"/>
          <w:szCs w:val="21"/>
          <w:u w:val="single"/>
          <w14:textFill>
            <w14:solidFill>
              <w14:schemeClr w14:val="tx1"/>
            </w14:solidFill>
          </w14:textFill>
        </w:rPr>
        <w:t>无</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488"/>
    <w:p w14:paraId="02F981F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13.2.5移交、接收全部与部分工程</w:t>
      </w:r>
    </w:p>
    <w:bookmarkEnd w:id="489"/>
    <w:p w14:paraId="6BC8B0C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承包人向发包人移交工程的期限：</w:t>
      </w:r>
      <w:r>
        <w:rPr>
          <w:rFonts w:ascii="宋体" w:hAnsi="宋体" w:eastAsia="宋体"/>
          <w:color w:val="000000" w:themeColor="text1"/>
          <w:kern w:val="0"/>
          <w:szCs w:val="21"/>
          <w:u w:val="single"/>
          <w14:textFill>
            <w14:solidFill>
              <w14:schemeClr w14:val="tx1"/>
            </w14:solidFill>
          </w14:textFill>
        </w:rPr>
        <w:t>颁发工程接收证书</w:t>
      </w:r>
      <w:r>
        <w:rPr>
          <w:rFonts w:hint="eastAsia" w:ascii="宋体" w:hAnsi="宋体" w:eastAsia="宋体"/>
          <w:color w:val="000000" w:themeColor="text1"/>
          <w:kern w:val="0"/>
          <w:szCs w:val="21"/>
          <w:u w:val="single"/>
          <w14:textFill>
            <w14:solidFill>
              <w14:schemeClr w14:val="tx1"/>
            </w14:solidFill>
          </w14:textFill>
        </w:rPr>
        <w:t>后7天内</w:t>
      </w:r>
      <w:r>
        <w:rPr>
          <w:rFonts w:hint="eastAsia" w:ascii="宋体" w:hAnsi="宋体" w:eastAsia="宋体"/>
          <w:color w:val="000000" w:themeColor="text1"/>
          <w:szCs w:val="21"/>
          <w14:textFill>
            <w14:solidFill>
              <w14:schemeClr w14:val="tx1"/>
            </w14:solidFill>
          </w14:textFill>
        </w:rPr>
        <w:t>。</w:t>
      </w:r>
    </w:p>
    <w:p w14:paraId="1A3F254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发包人未按本合同约定接收全部或部分工程的，违约金的计算方法为：</w:t>
      </w:r>
      <w:r>
        <w:rPr>
          <w:rFonts w:hint="eastAsia" w:ascii="宋体" w:hAnsi="宋体" w:eastAsia="宋体"/>
          <w:color w:val="000000" w:themeColor="text1"/>
          <w:szCs w:val="21"/>
          <w:u w:val="single"/>
          <w14:textFill>
            <w14:solidFill>
              <w14:schemeClr w14:val="tx1"/>
            </w14:solidFill>
          </w14:textFill>
        </w:rPr>
        <w:t>无</w:t>
      </w:r>
      <w:r>
        <w:rPr>
          <w:rFonts w:ascii="宋体" w:hAnsi="宋体" w:eastAsia="宋体"/>
          <w:color w:val="000000" w:themeColor="text1"/>
          <w:szCs w:val="21"/>
          <w14:textFill>
            <w14:solidFill>
              <w14:schemeClr w14:val="tx1"/>
            </w14:solidFill>
          </w14:textFill>
        </w:rPr>
        <w:t>。</w:t>
      </w:r>
    </w:p>
    <w:bookmarkEnd w:id="490"/>
    <w:p w14:paraId="04D8AB0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承包人未按时移交工程的，违约金的计算方法为：</w:t>
      </w:r>
      <w:r>
        <w:rPr>
          <w:rFonts w:hint="eastAsia" w:ascii="宋体" w:hAnsi="宋体" w:eastAsia="宋体"/>
          <w:color w:val="000000" w:themeColor="text1"/>
          <w:szCs w:val="21"/>
          <w:u w:val="single"/>
          <w14:textFill>
            <w14:solidFill>
              <w14:schemeClr w14:val="tx1"/>
            </w14:solidFill>
          </w14:textFill>
        </w:rPr>
        <w:t>按专用条款7.5.2条执行</w:t>
      </w:r>
      <w:r>
        <w:rPr>
          <w:rFonts w:ascii="宋体" w:hAnsi="宋体" w:eastAsia="宋体"/>
          <w:color w:val="000000" w:themeColor="text1"/>
          <w:szCs w:val="21"/>
          <w14:textFill>
            <w14:solidFill>
              <w14:schemeClr w14:val="tx1"/>
            </w14:solidFill>
          </w14:textFill>
        </w:rPr>
        <w:t>。</w:t>
      </w:r>
    </w:p>
    <w:p w14:paraId="5E367B2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13.3 工程试车</w:t>
      </w:r>
    </w:p>
    <w:bookmarkEnd w:id="491"/>
    <w:p w14:paraId="30D903B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13.3.1 试车程序</w:t>
      </w:r>
    </w:p>
    <w:p w14:paraId="7B633760">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工程试车内容：</w:t>
      </w:r>
      <w:r>
        <w:rPr>
          <w:rFonts w:hint="eastAsia" w:ascii="宋体" w:hAnsi="宋体" w:eastAsia="宋体"/>
          <w:color w:val="000000" w:themeColor="text1"/>
          <w:szCs w:val="21"/>
          <w:u w:val="single"/>
          <w14:textFill>
            <w14:solidFill>
              <w14:schemeClr w14:val="tx1"/>
            </w14:solidFill>
          </w14:textFill>
        </w:rPr>
        <w:t>承包人合同范围内各类机械、电子设备调试</w:t>
      </w:r>
      <w:r>
        <w:rPr>
          <w:rFonts w:ascii="宋体" w:hAnsi="宋体" w:eastAsia="宋体"/>
          <w:color w:val="000000" w:themeColor="text1"/>
          <w:szCs w:val="21"/>
          <w14:textFill>
            <w14:solidFill>
              <w14:schemeClr w14:val="tx1"/>
            </w14:solidFill>
          </w14:textFill>
        </w:rPr>
        <w:t>。</w:t>
      </w:r>
    </w:p>
    <w:p w14:paraId="21C9DC24">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（1）单机无负荷试车费用由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承担；</w:t>
      </w:r>
    </w:p>
    <w:p w14:paraId="794DD358">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（2）无负荷联动试车费用由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承担。</w:t>
      </w:r>
    </w:p>
    <w:p w14:paraId="0F35AF8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13.3.3 投料试车</w:t>
      </w:r>
    </w:p>
    <w:p w14:paraId="15953BC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关于投料试车相关事项的约定：</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7A5E07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13.6 竣工退场</w:t>
      </w:r>
    </w:p>
    <w:p w14:paraId="34EB4D2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13.6.1 竣工退场</w:t>
      </w:r>
    </w:p>
    <w:p w14:paraId="49D35FF1">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承包人完成竣工退场的期限：</w:t>
      </w:r>
      <w:r>
        <w:rPr>
          <w:rFonts w:ascii="宋体" w:hAnsi="宋体" w:eastAsia="宋体"/>
          <w:color w:val="000000" w:themeColor="text1"/>
          <w:szCs w:val="21"/>
          <w:u w:val="single"/>
          <w14:textFill>
            <w14:solidFill>
              <w14:schemeClr w14:val="tx1"/>
            </w14:solidFill>
          </w14:textFill>
        </w:rPr>
        <w:t xml:space="preserve">   工程竣工移交后</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以发包人书面指令为准  </w:t>
      </w:r>
      <w:r>
        <w:rPr>
          <w:rFonts w:ascii="宋体" w:hAnsi="宋体" w:eastAsia="宋体"/>
          <w:color w:val="000000" w:themeColor="text1"/>
          <w:kern w:val="0"/>
          <w:szCs w:val="21"/>
          <w14:textFill>
            <w14:solidFill>
              <w14:schemeClr w14:val="tx1"/>
            </w14:solidFill>
          </w14:textFill>
        </w:rPr>
        <w:t>。</w:t>
      </w:r>
    </w:p>
    <w:p w14:paraId="30209667">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493" w:name="_Toc351203646"/>
      <w:r>
        <w:rPr>
          <w:rFonts w:hint="eastAsia" w:ascii="宋体" w:hAnsi="宋体" w:cs="黑体"/>
          <w:color w:val="000000" w:themeColor="text1"/>
          <w14:textFill>
            <w14:solidFill>
              <w14:schemeClr w14:val="tx1"/>
            </w14:solidFill>
          </w14:textFill>
        </w:rPr>
        <w:t>14. 竣工结算</w:t>
      </w:r>
      <w:bookmarkEnd w:id="493"/>
    </w:p>
    <w:p w14:paraId="1B0485E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14.1 竣工付款申请</w:t>
      </w:r>
    </w:p>
    <w:p w14:paraId="7399B76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承包人提交竣工付款申请单的期限：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提交的竣工验收报告获得发包人批准后，承包人应在</w:t>
      </w:r>
      <w:r>
        <w:rPr>
          <w:rFonts w:ascii="宋体" w:hAnsi="宋体" w:eastAsia="宋体" w:cs="宋体"/>
          <w:color w:val="000000" w:themeColor="text1"/>
          <w:szCs w:val="21"/>
          <w:u w:val="single"/>
          <w14:textFill>
            <w14:solidFill>
              <w14:schemeClr w14:val="tx1"/>
            </w14:solidFill>
          </w14:textFill>
        </w:rPr>
        <w:t>6</w:t>
      </w:r>
      <w:r>
        <w:rPr>
          <w:rFonts w:hint="eastAsia" w:ascii="宋体" w:hAnsi="宋体" w:eastAsia="宋体" w:cs="宋体"/>
          <w:color w:val="000000" w:themeColor="text1"/>
          <w:szCs w:val="21"/>
          <w:u w:val="single"/>
          <w14:textFill>
            <w14:solidFill>
              <w14:schemeClr w14:val="tx1"/>
            </w14:solidFill>
          </w14:textFill>
        </w:rPr>
        <w:t>0个工作日内办理并提交“竣工结算资料”</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B31749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竣工付款申请单应包括的内容：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竣工结算合同总价、已支付的工程价款、应扣留的质量保证金、应支付的竣工付款金额及相关证明材料等</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BF53A0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14.2 竣工结算审核</w:t>
      </w:r>
    </w:p>
    <w:p w14:paraId="3B84B4A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竣工付款申请单的期限：</w:t>
      </w:r>
      <w:r>
        <w:rPr>
          <w:rFonts w:hint="eastAsia" w:ascii="宋体" w:hAnsi="宋体" w:eastAsia="宋体"/>
          <w:color w:val="000000" w:themeColor="text1"/>
          <w:szCs w:val="21"/>
          <w:u w:val="single"/>
          <w14:textFill>
            <w14:solidFill>
              <w14:schemeClr w14:val="tx1"/>
            </w14:solidFill>
          </w14:textFill>
        </w:rPr>
        <w:t>结算审查期限，从收到承包人上报的完整的竣工结算资料（竣工图、变更、签证、认价单、结算书、结算申请单）之日起，两个月内审核完成或提出修改意见，结算时间最长不超过</w:t>
      </w:r>
      <w:r>
        <w:rPr>
          <w:rFonts w:ascii="宋体" w:hAnsi="宋体" w:eastAsia="宋体"/>
          <w:color w:val="000000" w:themeColor="text1"/>
          <w:szCs w:val="21"/>
          <w:u w:val="single"/>
          <w14:textFill>
            <w14:solidFill>
              <w14:schemeClr w14:val="tx1"/>
            </w14:solidFill>
          </w14:textFill>
        </w:rPr>
        <w:t>6</w:t>
      </w:r>
      <w:r>
        <w:rPr>
          <w:rFonts w:hint="eastAsia" w:ascii="宋体" w:hAnsi="宋体" w:eastAsia="宋体"/>
          <w:color w:val="000000" w:themeColor="text1"/>
          <w:szCs w:val="21"/>
          <w:u w:val="single"/>
          <w14:textFill>
            <w14:solidFill>
              <w14:schemeClr w14:val="tx1"/>
            </w14:solidFill>
          </w14:textFill>
        </w:rPr>
        <w:t>个月</w:t>
      </w:r>
      <w:r>
        <w:rPr>
          <w:rFonts w:ascii="宋体" w:hAnsi="宋体" w:eastAsia="宋体"/>
          <w:color w:val="000000" w:themeColor="text1"/>
          <w:szCs w:val="21"/>
          <w14:textFill>
            <w14:solidFill>
              <w14:schemeClr w14:val="tx1"/>
            </w14:solidFill>
          </w14:textFill>
        </w:rPr>
        <w:t>。</w:t>
      </w:r>
    </w:p>
    <w:p w14:paraId="6D815B6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发包人完成竣工付款的期限：</w:t>
      </w:r>
      <w:r>
        <w:rPr>
          <w:rFonts w:hint="eastAsia" w:ascii="宋体" w:hAnsi="宋体" w:eastAsia="宋体"/>
          <w:color w:val="000000" w:themeColor="text1"/>
          <w:szCs w:val="21"/>
          <w:u w:val="single"/>
          <w14:textFill>
            <w14:solidFill>
              <w14:schemeClr w14:val="tx1"/>
            </w14:solidFill>
          </w14:textFill>
        </w:rPr>
        <w:t>发包人委托的第三方造价审计机构出具正式结算报告后1个月内</w:t>
      </w:r>
      <w:r>
        <w:rPr>
          <w:rFonts w:ascii="宋体" w:hAnsi="宋体" w:eastAsia="宋体"/>
          <w:color w:val="000000" w:themeColor="text1"/>
          <w:szCs w:val="21"/>
          <w14:textFill>
            <w14:solidFill>
              <w14:schemeClr w14:val="tx1"/>
            </w14:solidFill>
          </w14:textFill>
        </w:rPr>
        <w:t>。</w:t>
      </w:r>
    </w:p>
    <w:p w14:paraId="583B675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关于竣工付款证书异议部分复核的方式和程序：</w:t>
      </w:r>
      <w:r>
        <w:rPr>
          <w:rFonts w:hint="eastAsia" w:ascii="宋体" w:hAnsi="宋体" w:eastAsia="宋体"/>
          <w:color w:val="000000" w:themeColor="text1"/>
          <w:szCs w:val="21"/>
          <w:u w:val="single"/>
          <w14:textFill>
            <w14:solidFill>
              <w14:schemeClr w14:val="tx1"/>
            </w14:solidFill>
          </w14:textFill>
        </w:rPr>
        <w:t>由发包人委托的第三方造价审计机构进行复核</w:t>
      </w:r>
      <w:r>
        <w:rPr>
          <w:rFonts w:ascii="宋体" w:hAnsi="宋体" w:eastAsia="宋体"/>
          <w:color w:val="000000" w:themeColor="text1"/>
          <w:szCs w:val="21"/>
          <w14:textFill>
            <w14:solidFill>
              <w14:schemeClr w14:val="tx1"/>
            </w14:solidFill>
          </w14:textFill>
        </w:rPr>
        <w:t>。</w:t>
      </w:r>
    </w:p>
    <w:p w14:paraId="1CCE0C5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14.4 最终结清</w:t>
      </w:r>
    </w:p>
    <w:p w14:paraId="639FD8C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14.4.1 最终结清申请单</w:t>
      </w:r>
    </w:p>
    <w:p w14:paraId="1D8D147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承包人提交最终结清申请单的份数：</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份</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BEA21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承包人提交最终结算申请单的期限：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在缺陷责任期终止证书颁发后10天内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4B21C80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14.4.2 最终结清证书和支付</w:t>
      </w:r>
    </w:p>
    <w:p w14:paraId="4FCAAC2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（1）发包人完成最终结清申请单的</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并颁发最终结清证书的期限：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2941FC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（2）发包人完成支付的期限：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480"/>
    <w:bookmarkEnd w:id="481"/>
    <w:bookmarkEnd w:id="482"/>
    <w:bookmarkEnd w:id="483"/>
    <w:bookmarkEnd w:id="484"/>
    <w:bookmarkEnd w:id="485"/>
    <w:bookmarkEnd w:id="486"/>
    <w:bookmarkEnd w:id="492"/>
    <w:p w14:paraId="1165455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494" w:name="_Toc351203647"/>
      <w:bookmarkStart w:id="495" w:name="_Toc267251483"/>
      <w:bookmarkStart w:id="496" w:name="_Toc267251484"/>
      <w:bookmarkStart w:id="497" w:name="_Toc267251482"/>
      <w:bookmarkStart w:id="498" w:name="_Toc267251485"/>
      <w:bookmarkStart w:id="499" w:name="_Toc267251490"/>
      <w:bookmarkStart w:id="500" w:name="_Toc267251488"/>
      <w:bookmarkStart w:id="501" w:name="_Toc267251486"/>
      <w:bookmarkStart w:id="502" w:name="_Toc267251489"/>
      <w:bookmarkStart w:id="503" w:name="_Toc267251502"/>
      <w:bookmarkStart w:id="504" w:name="_Toc267251493"/>
      <w:bookmarkStart w:id="505" w:name="_Toc267251496"/>
      <w:bookmarkStart w:id="506" w:name="_Toc267251498"/>
      <w:bookmarkStart w:id="507" w:name="_Toc267251497"/>
      <w:bookmarkStart w:id="508" w:name="_Toc267251494"/>
      <w:bookmarkStart w:id="509" w:name="_Toc267251499"/>
      <w:bookmarkStart w:id="510" w:name="_Toc267251491"/>
      <w:bookmarkStart w:id="511" w:name="_Toc267251495"/>
      <w:bookmarkStart w:id="512" w:name="_Toc267251503"/>
      <w:bookmarkStart w:id="513" w:name="_Toc267251492"/>
      <w:bookmarkStart w:id="514" w:name="_Toc267251501"/>
      <w:bookmarkStart w:id="515" w:name="_Toc267251504"/>
      <w:bookmarkStart w:id="516" w:name="_Toc267251506"/>
      <w:bookmarkStart w:id="517" w:name="_Toc267251507"/>
      <w:bookmarkStart w:id="518" w:name="_Toc267251508"/>
      <w:bookmarkStart w:id="519" w:name="_Toc267251510"/>
      <w:bookmarkStart w:id="520" w:name="_Toc267251515"/>
      <w:bookmarkStart w:id="521" w:name="_Toc267251509"/>
      <w:bookmarkStart w:id="522" w:name="_Toc267251511"/>
      <w:bookmarkStart w:id="523" w:name="_Toc267251513"/>
      <w:bookmarkStart w:id="524" w:name="_Toc267251514"/>
      <w:r>
        <w:rPr>
          <w:rFonts w:hint="eastAsia" w:ascii="宋体" w:hAnsi="宋体" w:cs="黑体"/>
          <w:color w:val="000000" w:themeColor="text1"/>
          <w14:textFill>
            <w14:solidFill>
              <w14:schemeClr w14:val="tx1"/>
            </w14:solidFill>
          </w14:textFill>
        </w:rPr>
        <w:t>15. 缺陷责任期与保修</w:t>
      </w:r>
      <w:bookmarkEnd w:id="494"/>
    </w:p>
    <w:p w14:paraId="1312058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15.2缺陷责任期</w:t>
      </w:r>
      <w:bookmarkEnd w:id="495"/>
    </w:p>
    <w:p w14:paraId="77B014A0">
      <w:pPr>
        <w:spacing w:line="400" w:lineRule="exact"/>
        <w:ind w:firstLine="420" w:firstLineChars="200"/>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缺陷责任期的具体期限：</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olor w:val="000000" w:themeColor="text1"/>
          <w:szCs w:val="21"/>
          <w:highlight w:val="none"/>
          <w:u w:val="single"/>
          <w14:textFill>
            <w14:solidFill>
              <w14:schemeClr w14:val="tx1"/>
            </w14:solidFill>
          </w14:textFill>
        </w:rPr>
        <w:t>个月</w:t>
      </w:r>
      <w:r>
        <w:rPr>
          <w:rFonts w:ascii="宋体" w:hAnsi="宋体" w:eastAsia="宋体"/>
          <w:color w:val="000000" w:themeColor="text1"/>
          <w:szCs w:val="21"/>
          <w:highlight w:val="none"/>
          <w:u w:val="single"/>
          <w14:textFill>
            <w14:solidFill>
              <w14:schemeClr w14:val="tx1"/>
            </w14:solidFill>
          </w14:textFill>
        </w:rPr>
        <w:t xml:space="preserve">  </w:t>
      </w:r>
      <w:r>
        <w:rPr>
          <w:rFonts w:ascii="宋体" w:hAnsi="宋体" w:eastAsia="宋体"/>
          <w:color w:val="000000" w:themeColor="text1"/>
          <w:szCs w:val="21"/>
          <w:highlight w:val="none"/>
          <w14:textFill>
            <w14:solidFill>
              <w14:schemeClr w14:val="tx1"/>
            </w14:solidFill>
          </w14:textFill>
        </w:rPr>
        <w:t>。</w:t>
      </w:r>
    </w:p>
    <w:bookmarkEnd w:id="496"/>
    <w:bookmarkEnd w:id="497"/>
    <w:p w14:paraId="64A0500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15.3 质量保证金</w:t>
      </w:r>
    </w:p>
    <w:p w14:paraId="36B869C6">
      <w:pPr>
        <w:spacing w:line="400" w:lineRule="exact"/>
        <w:ind w:left="420" w:leftChars="200" w:firstLine="0" w:firstLineChars="0"/>
        <w:jc w:val="left"/>
        <w:rPr>
          <w:rFonts w:hint="eastAsia" w:ascii="宋体" w:hAnsi="宋体" w:eastAsia="宋体"/>
          <w:color w:val="000000" w:themeColor="text1"/>
          <w:szCs w:val="21"/>
          <w:u w:val="single"/>
          <w:lang w:val="en-US" w:eastAsia="zh-CN"/>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关于是否扣留质量保证金的约定：关于是否扣留质量保证金的约定：</w:t>
      </w:r>
      <w:r>
        <w:rPr>
          <w:rFonts w:hint="eastAsia" w:ascii="宋体" w:hAnsi="宋体" w:eastAsia="宋体"/>
          <w:color w:val="000000" w:themeColor="text1"/>
          <w:szCs w:val="21"/>
          <w:u w:val="single"/>
          <w:lang w:val="en-US" w:eastAsia="zh-CN"/>
          <w14:textFill>
            <w14:solidFill>
              <w14:schemeClr w14:val="tx1"/>
            </w14:solidFill>
          </w14:textFill>
        </w:rPr>
        <w:t xml:space="preserve">                 </w:t>
      </w:r>
    </w:p>
    <w:p w14:paraId="055C1242">
      <w:pPr>
        <w:spacing w:line="400" w:lineRule="exact"/>
        <w:ind w:left="420" w:leftChars="200" w:firstLine="0" w:firstLineChars="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15.3.1 </w:t>
      </w:r>
      <w:r>
        <w:rPr>
          <w:rFonts w:hint="eastAsia" w:ascii="宋体" w:hAnsi="宋体" w:eastAsia="宋体"/>
          <w:color w:val="000000" w:themeColor="text1"/>
          <w:szCs w:val="21"/>
          <w14:textFill>
            <w14:solidFill>
              <w14:schemeClr w14:val="tx1"/>
            </w14:solidFill>
          </w14:textFill>
        </w:rPr>
        <w:t>承包人提供</w:t>
      </w:r>
      <w:r>
        <w:rPr>
          <w:rFonts w:ascii="宋体" w:hAnsi="宋体" w:eastAsia="宋体"/>
          <w:color w:val="000000" w:themeColor="text1"/>
          <w:szCs w:val="21"/>
          <w14:textFill>
            <w14:solidFill>
              <w14:schemeClr w14:val="tx1"/>
            </w14:solidFill>
          </w14:textFill>
        </w:rPr>
        <w:t>质量保证金的</w:t>
      </w:r>
      <w:r>
        <w:rPr>
          <w:rFonts w:hint="eastAsia" w:ascii="宋体" w:hAnsi="宋体" w:eastAsia="宋体"/>
          <w:color w:val="000000" w:themeColor="text1"/>
          <w:szCs w:val="21"/>
          <w14:textFill>
            <w14:solidFill>
              <w14:schemeClr w14:val="tx1"/>
            </w14:solidFill>
          </w14:textFill>
        </w:rPr>
        <w:t>方</w:t>
      </w:r>
      <w:r>
        <w:rPr>
          <w:rFonts w:ascii="宋体" w:hAnsi="宋体" w:eastAsia="宋体"/>
          <w:color w:val="000000" w:themeColor="text1"/>
          <w:szCs w:val="21"/>
          <w14:textFill>
            <w14:solidFill>
              <w14:schemeClr w14:val="tx1"/>
            </w14:solidFill>
          </w14:textFill>
        </w:rPr>
        <w:t>式</w:t>
      </w:r>
    </w:p>
    <w:p w14:paraId="1172612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质量保证金采用以下第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p>
    <w:p w14:paraId="009D1DEE">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（1）质量保证金保函，保证金额为：</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 xml:space="preserve">； </w:t>
      </w:r>
    </w:p>
    <w:p w14:paraId="0DE3921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3</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%的工程款；</w:t>
      </w:r>
    </w:p>
    <w:p w14:paraId="064DE792">
      <w:pPr>
        <w:autoSpaceDE w:val="0"/>
        <w:autoSpaceDN w:val="0"/>
        <w:adjustRightInd w:val="0"/>
        <w:spacing w:line="400" w:lineRule="exact"/>
        <w:ind w:firstLine="420" w:firstLineChars="200"/>
        <w:jc w:val="left"/>
        <w:rPr>
          <w:rFonts w:hint="eastAsia" w:ascii="宋体" w:hAnsi="宋体" w:eastAsia="宋体"/>
          <w:color w:val="000000" w:themeColor="text1"/>
          <w:kern w:val="0"/>
          <w:szCs w:val="21"/>
          <w:highlight w:val="yellow"/>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（3）其他</w:t>
      </w:r>
      <w:r>
        <w:rPr>
          <w:rFonts w:hint="eastAsia" w:ascii="宋体" w:hAnsi="宋体" w:eastAsia="宋体"/>
          <w:color w:val="000000" w:themeColor="text1"/>
          <w:kern w:val="0"/>
          <w:szCs w:val="21"/>
          <w14:textFill>
            <w14:solidFill>
              <w14:schemeClr w14:val="tx1"/>
            </w14:solidFill>
          </w14:textFill>
        </w:rPr>
        <w:t>方</w:t>
      </w:r>
      <w:r>
        <w:rPr>
          <w:rFonts w:ascii="宋体" w:hAnsi="宋体" w:eastAsia="宋体"/>
          <w:color w:val="000000" w:themeColor="text1"/>
          <w:kern w:val="0"/>
          <w:szCs w:val="21"/>
          <w14:textFill>
            <w14:solidFill>
              <w14:schemeClr w14:val="tx1"/>
            </w14:solidFill>
          </w14:textFill>
        </w:rPr>
        <w:t>式:</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highlight w:val="none"/>
          <w:u w:val="single"/>
          <w14:textFill>
            <w14:solidFill>
              <w14:schemeClr w14:val="tx1"/>
            </w14:solidFill>
          </w14:textFill>
        </w:rPr>
        <w:t xml:space="preserve"> 项目完工后，由项目实施单位向甲方报送竣工决算资料进行决算投资评审，最终以决算结果支付尾款，支付尾款前需先缴纳3%质保金。待缺陷责任期满后14工作日内，质保金将全额退还  。</w:t>
      </w:r>
    </w:p>
    <w:p w14:paraId="4259C24C">
      <w:pPr>
        <w:pStyle w:val="2"/>
        <w:ind w:firstLine="420" w:firstLineChars="200"/>
        <w:rPr>
          <w:rFonts w:ascii="宋体" w:hAnsi="宋体" w:eastAsia="宋体" w:cstheme="minorBidi"/>
          <w:color w:val="000000" w:themeColor="text1"/>
          <w:kern w:val="0"/>
          <w:sz w:val="21"/>
          <w:szCs w:val="21"/>
          <w:lang w:val="en-US" w:eastAsia="zh-CN" w:bidi="ar-SA"/>
          <w14:textFill>
            <w14:solidFill>
              <w14:schemeClr w14:val="tx1"/>
            </w14:solidFill>
          </w14:textFill>
        </w:rPr>
      </w:pPr>
      <w:r>
        <w:rPr>
          <w:rFonts w:ascii="宋体" w:hAnsi="宋体" w:eastAsia="宋体" w:cstheme="minorBidi"/>
          <w:color w:val="000000" w:themeColor="text1"/>
          <w:kern w:val="0"/>
          <w:sz w:val="21"/>
          <w:szCs w:val="21"/>
          <w:lang w:val="en-US" w:eastAsia="zh-CN" w:bidi="ar-SA"/>
          <w14:textFill>
            <w14:solidFill>
              <w14:schemeClr w14:val="tx1"/>
            </w14:solidFill>
          </w14:textFill>
        </w:rPr>
        <w:t>（</w:t>
      </w:r>
      <w:r>
        <w:rPr>
          <w:rFonts w:hint="eastAsia" w:ascii="宋体" w:hAnsi="宋体" w:cstheme="minorBidi"/>
          <w:color w:val="000000" w:themeColor="text1"/>
          <w:kern w:val="0"/>
          <w:sz w:val="21"/>
          <w:szCs w:val="21"/>
          <w:lang w:val="en-US" w:eastAsia="zh-CN" w:bidi="ar-SA"/>
          <w14:textFill>
            <w14:solidFill>
              <w14:schemeClr w14:val="tx1"/>
            </w14:solidFill>
          </w14:textFill>
        </w:rPr>
        <w:t>4</w:t>
      </w:r>
      <w:r>
        <w:rPr>
          <w:rFonts w:ascii="宋体" w:hAnsi="宋体" w:eastAsia="宋体" w:cstheme="minorBidi"/>
          <w:color w:val="000000" w:themeColor="text1"/>
          <w:kern w:val="0"/>
          <w:sz w:val="21"/>
          <w:szCs w:val="21"/>
          <w:lang w:val="en-US" w:eastAsia="zh-CN" w:bidi="ar-SA"/>
          <w14:textFill>
            <w14:solidFill>
              <w14:schemeClr w14:val="tx1"/>
            </w14:solidFill>
          </w14:textFill>
        </w:rPr>
        <w:t>）</w:t>
      </w:r>
      <w:r>
        <w:rPr>
          <w:rFonts w:hint="eastAsia" w:ascii="宋体" w:hAnsi="宋体" w:eastAsia="宋体" w:cstheme="minorBidi"/>
          <w:color w:val="000000" w:themeColor="text1"/>
          <w:kern w:val="0"/>
          <w:sz w:val="21"/>
          <w:szCs w:val="21"/>
          <w:lang w:val="en-US" w:eastAsia="zh-CN" w:bidi="ar-SA"/>
          <w14:textFill>
            <w14:solidFill>
              <w14:schemeClr w14:val="tx1"/>
            </w14:solidFill>
          </w14:textFill>
        </w:rPr>
        <w:t>无需缴纳/或扣除。</w:t>
      </w:r>
    </w:p>
    <w:p w14:paraId="3960A09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15.3.2 质量保证金的扣留 </w:t>
      </w:r>
    </w:p>
    <w:p w14:paraId="2322084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质量保证金的扣留采取以下第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p>
    <w:p w14:paraId="4970D34C">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（1）在支付工程进度款时逐次扣留，在此情形下，质量保证金的计算基数不包括预付款的支付、扣回以及价格调整的金额；</w:t>
      </w:r>
    </w:p>
    <w:p w14:paraId="1597A1D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（2）工程竣工结算时一次性扣留质量保证金；</w:t>
      </w:r>
    </w:p>
    <w:p w14:paraId="4FC6DEEA">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（3）其他扣留方式:</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1B0607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关于质量保证金的补充约定：</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14:textFill>
            <w14:solidFill>
              <w14:schemeClr w14:val="tx1"/>
            </w14:solidFill>
          </w14:textFill>
        </w:rPr>
        <w:t>。</w:t>
      </w:r>
    </w:p>
    <w:p w14:paraId="20E7820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15.4保修</w:t>
      </w:r>
    </w:p>
    <w:bookmarkEnd w:id="498"/>
    <w:p w14:paraId="3682E21A">
      <w:pPr>
        <w:spacing w:line="400" w:lineRule="exact"/>
        <w:ind w:firstLine="409" w:firstLineChars="195"/>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15.4.1 保修责任</w:t>
      </w:r>
    </w:p>
    <w:p w14:paraId="0F4CF57E">
      <w:pPr>
        <w:spacing w:line="400" w:lineRule="exact"/>
        <w:ind w:firstLine="409" w:firstLineChars="195"/>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工程保修期为：</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详见</w:t>
      </w:r>
      <w:r>
        <w:rPr>
          <w:rFonts w:ascii="宋体" w:hAnsi="宋体" w:eastAsia="宋体"/>
          <w:color w:val="000000" w:themeColor="text1"/>
          <w:kern w:val="0"/>
          <w:szCs w:val="21"/>
          <w:u w:val="single"/>
          <w14:textFill>
            <w14:solidFill>
              <w14:schemeClr w14:val="tx1"/>
            </w14:solidFill>
          </w14:textFill>
        </w:rPr>
        <w:t>质量保修书</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27CA9CF6">
      <w:pPr>
        <w:spacing w:line="400" w:lineRule="exact"/>
        <w:ind w:firstLine="409" w:firstLineChars="195"/>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15.4.3 修复通知</w:t>
      </w:r>
    </w:p>
    <w:p w14:paraId="68038D0A">
      <w:pPr>
        <w:spacing w:line="400" w:lineRule="exact"/>
        <w:ind w:firstLine="409" w:firstLineChars="195"/>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承包人收到保修通知并到达工程现场的合理时间：</w:t>
      </w:r>
      <w:r>
        <w:rPr>
          <w:rFonts w:hint="eastAsia" w:ascii="宋体" w:hAnsi="宋体" w:eastAsia="宋体"/>
          <w:color w:val="000000" w:themeColor="text1"/>
          <w:szCs w:val="21"/>
          <w:u w:val="single"/>
          <w14:textFill>
            <w14:solidFill>
              <w14:schemeClr w14:val="tx1"/>
            </w14:solidFill>
          </w14:textFill>
        </w:rPr>
        <w:t>自工程竣工验收合格之日进入免费保修期，免费保修内容为由承包人负责的本工程全部质量问题。响应时间为正常工作日二小时内答复，十二小时内到现场处理。节假日及法定休息日六小时内答复，二十四小时内到现场处理</w:t>
      </w:r>
      <w:r>
        <w:rPr>
          <w:rFonts w:ascii="宋体" w:hAnsi="宋体" w:eastAsia="宋体"/>
          <w:color w:val="000000" w:themeColor="text1"/>
          <w:kern w:val="0"/>
          <w:szCs w:val="21"/>
          <w14:textFill>
            <w14:solidFill>
              <w14:schemeClr w14:val="tx1"/>
            </w14:solidFill>
          </w14:textFill>
        </w:rPr>
        <w:t>。</w:t>
      </w:r>
    </w:p>
    <w:bookmarkEnd w:id="499"/>
    <w:bookmarkEnd w:id="500"/>
    <w:bookmarkEnd w:id="501"/>
    <w:bookmarkEnd w:id="502"/>
    <w:p w14:paraId="44E5CE7E">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525" w:name="_Toc351203648"/>
      <w:bookmarkStart w:id="526" w:name="_Toc280868717"/>
      <w:bookmarkStart w:id="527" w:name="_Toc280868718"/>
      <w:r>
        <w:rPr>
          <w:rFonts w:hint="eastAsia" w:ascii="宋体" w:hAnsi="宋体" w:cs="黑体"/>
          <w:color w:val="000000" w:themeColor="text1"/>
          <w14:textFill>
            <w14:solidFill>
              <w14:schemeClr w14:val="tx1"/>
            </w14:solidFill>
          </w14:textFill>
        </w:rPr>
        <w:t>16. 违约</w:t>
      </w:r>
      <w:bookmarkEnd w:id="525"/>
    </w:p>
    <w:p w14:paraId="5889488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 发包人违约</w:t>
      </w:r>
    </w:p>
    <w:p w14:paraId="2B246A8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16.1.1发包人违约的情形</w:t>
      </w:r>
    </w:p>
    <w:p w14:paraId="366FA7A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发包人违约的其他情形：</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7C33BB1">
      <w:pPr>
        <w:spacing w:line="400" w:lineRule="exact"/>
        <w:ind w:left="1050" w:hanging="1050" w:hangingChars="5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 xml:space="preserve">    16.1.2 发包人违约的责任</w:t>
      </w:r>
    </w:p>
    <w:p w14:paraId="3DF86BC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发包人违约责任的承担方式和计算方法：</w:t>
      </w:r>
    </w:p>
    <w:p w14:paraId="5E93F21E">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（1）因发包人原因未能在计划开工日期前7天内下达开工通知的违约责任：</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工期顺延</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3C5D201D">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（2）因发包人原因未能按合同约定支付合同价款的违约责任：</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双方另行协商 </w:t>
      </w:r>
      <w:r>
        <w:rPr>
          <w:rFonts w:ascii="宋体" w:hAnsi="宋体" w:eastAsia="宋体"/>
          <w:color w:val="000000" w:themeColor="text1"/>
          <w:kern w:val="0"/>
          <w:szCs w:val="21"/>
          <w14:textFill>
            <w14:solidFill>
              <w14:schemeClr w14:val="tx1"/>
            </w14:solidFill>
          </w14:textFill>
        </w:rPr>
        <w:t>。</w:t>
      </w:r>
    </w:p>
    <w:p w14:paraId="54DCE2F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（3）发包人违反第10.1款</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变更的范围</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第（2）项约定，自行实施被取消的工作或转由他人实施的违约责任：</w:t>
      </w:r>
      <w:r>
        <w:rPr>
          <w:rFonts w:hint="eastAsia" w:ascii="宋体" w:hAnsi="宋体" w:eastAsia="宋体"/>
          <w:color w:val="000000" w:themeColor="text1"/>
          <w:kern w:val="0"/>
          <w:szCs w:val="21"/>
          <w:u w:val="single"/>
          <w14:textFill>
            <w14:solidFill>
              <w14:schemeClr w14:val="tx1"/>
            </w14:solidFill>
          </w14:textFill>
        </w:rPr>
        <w:t>双方另行协商</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6E5BD54C">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4</w:t>
      </w:r>
      <w:r>
        <w:rPr>
          <w:rFonts w:ascii="宋体" w:hAnsi="宋体" w:eastAsia="宋体"/>
          <w:color w:val="000000" w:themeColor="text1"/>
          <w:kern w:val="0"/>
          <w:szCs w:val="21"/>
          <w14:textFill>
            <w14:solidFill>
              <w14:schemeClr w14:val="tx1"/>
            </w14:solidFill>
          </w14:textFill>
        </w:rPr>
        <w:t>）发包人提供的材料、工程设备的规格、数量或质量不符合合同约定，或因发包人原因导致交货日期延误或交货地点变更等情况的违约责任：</w:t>
      </w:r>
      <w:r>
        <w:rPr>
          <w:rFonts w:hint="eastAsia" w:ascii="宋体" w:hAnsi="宋体" w:eastAsia="宋体"/>
          <w:color w:val="000000" w:themeColor="text1"/>
          <w:kern w:val="0"/>
          <w:szCs w:val="21"/>
          <w:u w:val="single"/>
          <w14:textFill>
            <w14:solidFill>
              <w14:schemeClr w14:val="tx1"/>
            </w14:solidFill>
          </w14:textFill>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r>
        <w:rPr>
          <w:rFonts w:ascii="宋体" w:hAnsi="宋体" w:eastAsia="宋体"/>
          <w:color w:val="000000" w:themeColor="text1"/>
          <w:kern w:val="0"/>
          <w:szCs w:val="21"/>
          <w14:textFill>
            <w14:solidFill>
              <w14:schemeClr w14:val="tx1"/>
            </w14:solidFill>
          </w14:textFill>
        </w:rPr>
        <w:t>。</w:t>
      </w:r>
    </w:p>
    <w:p w14:paraId="301C2A6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5</w:t>
      </w:r>
      <w:r>
        <w:rPr>
          <w:rFonts w:ascii="宋体" w:hAnsi="宋体" w:eastAsia="宋体"/>
          <w:color w:val="000000" w:themeColor="text1"/>
          <w:kern w:val="0"/>
          <w:szCs w:val="21"/>
          <w14:textFill>
            <w14:solidFill>
              <w14:schemeClr w14:val="tx1"/>
            </w14:solidFill>
          </w14:textFill>
        </w:rPr>
        <w:t>）因发包人违反合同约定造成暂停施工的违约责任：</w:t>
      </w:r>
      <w:r>
        <w:rPr>
          <w:rFonts w:hint="eastAsia" w:ascii="宋体" w:hAnsi="宋体" w:eastAsia="宋体"/>
          <w:color w:val="000000" w:themeColor="text1"/>
          <w:kern w:val="0"/>
          <w:szCs w:val="21"/>
          <w:u w:val="single"/>
          <w14:textFill>
            <w14:solidFill>
              <w14:schemeClr w14:val="tx1"/>
            </w14:solidFill>
          </w14:textFill>
        </w:rPr>
        <w:t>若影响工期的，工期予以顺延</w:t>
      </w:r>
      <w:r>
        <w:rPr>
          <w:rFonts w:ascii="宋体" w:hAnsi="宋体" w:eastAsia="宋体"/>
          <w:color w:val="000000" w:themeColor="text1"/>
          <w:kern w:val="0"/>
          <w:szCs w:val="21"/>
          <w14:textFill>
            <w14:solidFill>
              <w14:schemeClr w14:val="tx1"/>
            </w14:solidFill>
          </w14:textFill>
        </w:rPr>
        <w:t>。</w:t>
      </w:r>
    </w:p>
    <w:p w14:paraId="2245D02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6</w:t>
      </w:r>
      <w:r>
        <w:rPr>
          <w:rFonts w:ascii="宋体" w:hAnsi="宋体" w:eastAsia="宋体"/>
          <w:color w:val="000000" w:themeColor="text1"/>
          <w:kern w:val="0"/>
          <w:szCs w:val="21"/>
          <w14:textFill>
            <w14:solidFill>
              <w14:schemeClr w14:val="tx1"/>
            </w14:solidFill>
          </w14:textFill>
        </w:rPr>
        <w:t>）发包人无正当理由没有在约定期限内发出复工指示，导致承包人无法复工的违约责任：</w:t>
      </w:r>
      <w:r>
        <w:rPr>
          <w:rFonts w:hint="eastAsia" w:ascii="宋体" w:hAnsi="宋体" w:eastAsia="宋体"/>
          <w:color w:val="000000" w:themeColor="text1"/>
          <w:kern w:val="0"/>
          <w:szCs w:val="21"/>
          <w:u w:val="single"/>
          <w14:textFill>
            <w14:solidFill>
              <w14:schemeClr w14:val="tx1"/>
            </w14:solidFill>
          </w14:textFill>
        </w:rPr>
        <w:t>若影响工期的，工期予以顺延</w:t>
      </w:r>
      <w:r>
        <w:rPr>
          <w:rFonts w:ascii="宋体" w:hAnsi="宋体" w:eastAsia="宋体"/>
          <w:color w:val="000000" w:themeColor="text1"/>
          <w:kern w:val="0"/>
          <w:szCs w:val="21"/>
          <w14:textFill>
            <w14:solidFill>
              <w14:schemeClr w14:val="tx1"/>
            </w14:solidFill>
          </w14:textFill>
        </w:rPr>
        <w:t>。</w:t>
      </w:r>
    </w:p>
    <w:p w14:paraId="7C969EA9">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（7）其他：</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96003B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16.1.3 因发包人违约解除合同</w:t>
      </w:r>
    </w:p>
    <w:p w14:paraId="4726B88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承包人按16.1.1项</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发包人违约的情形</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约定暂停施工满</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天后发包人仍不纠正其违约行为并致使合同目的不能实现的，承包人有权解除合同。</w:t>
      </w:r>
    </w:p>
    <w:p w14:paraId="023546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16.2 承包人违约</w:t>
      </w:r>
    </w:p>
    <w:p w14:paraId="26CD453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16.2.1 承包人违约的情形</w:t>
      </w:r>
    </w:p>
    <w:p w14:paraId="1A660067">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承包人违约的其他情形：</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未经发包人许可，擅自采购材料设备表以外设备及材料的或未经准用批准使用的</w:t>
      </w:r>
      <w:r>
        <w:rPr>
          <w:rFonts w:hint="eastAsia" w:ascii="宋体" w:hAnsi="宋体" w:eastAsia="宋体"/>
          <w:color w:val="000000" w:themeColor="text1"/>
          <w:kern w:val="0"/>
          <w:szCs w:val="21"/>
          <w14:textFill>
            <w14:solidFill>
              <w14:schemeClr w14:val="tx1"/>
            </w14:solidFill>
          </w14:textFill>
        </w:rPr>
        <w:t>。</w:t>
      </w:r>
    </w:p>
    <w:p w14:paraId="738AE06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16.2.2承包人违约的责任</w:t>
      </w:r>
    </w:p>
    <w:p w14:paraId="5DA798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承包人违约责任的承担方式和计算方法：</w:t>
      </w:r>
      <w:r>
        <w:rPr>
          <w:rFonts w:hint="eastAsia" w:ascii="宋体" w:hAnsi="宋体" w:eastAsia="宋体"/>
          <w:color w:val="000000" w:themeColor="text1"/>
          <w:szCs w:val="21"/>
          <w:u w:val="single"/>
          <w14:textFill>
            <w14:solidFill>
              <w14:schemeClr w14:val="tx1"/>
            </w14:solidFill>
          </w14:textFill>
        </w:rPr>
        <w:t>建设过程中分部分项工程质量若达不到合格标准，承包人应按要求整改至合格（整改费用承包人自行承担）。</w:t>
      </w:r>
    </w:p>
    <w:p w14:paraId="074DCFB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16.2.3 因承包人违约解除合同</w:t>
      </w:r>
    </w:p>
    <w:p w14:paraId="017B6CEE">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关于承包人违约解除合同的特别约定：</w:t>
      </w:r>
      <w:r>
        <w:rPr>
          <w:rFonts w:hint="eastAsia" w:ascii="宋体" w:hAnsi="宋体" w:eastAsia="宋体"/>
          <w:color w:val="000000" w:themeColor="text1"/>
          <w:szCs w:val="21"/>
          <w:u w:val="single"/>
          <w14:textFill>
            <w14:solidFill>
              <w14:schemeClr w14:val="tx1"/>
            </w14:solidFill>
          </w14:textFill>
        </w:rPr>
        <w:t>（1）承包人未按双方确认的施工计划组织施工；（2）承包人所施工的分部分项工程经两次验收均不合格；（</w:t>
      </w:r>
      <w:r>
        <w:rPr>
          <w:rFonts w:ascii="宋体" w:hAnsi="宋体" w:eastAsia="宋体"/>
          <w:color w:val="000000" w:themeColor="text1"/>
          <w:szCs w:val="21"/>
          <w:u w:val="single"/>
          <w14:textFill>
            <w14:solidFill>
              <w14:schemeClr w14:val="tx1"/>
            </w14:solidFill>
          </w14:textFill>
        </w:rPr>
        <w:t>3</w:t>
      </w:r>
      <w:r>
        <w:rPr>
          <w:rFonts w:hint="eastAsia" w:ascii="宋体" w:hAnsi="宋体" w:eastAsia="宋体"/>
          <w:color w:val="000000" w:themeColor="text1"/>
          <w:szCs w:val="21"/>
          <w:u w:val="single"/>
          <w14:textFill>
            <w14:solidFill>
              <w14:schemeClr w14:val="tx1"/>
            </w14:solidFill>
          </w14:textFill>
        </w:rPr>
        <w:t>）承包人未按照本合同约定及时移交工程和满足备案要求的完整竣工资料，逾期超过30天；（</w:t>
      </w:r>
      <w:r>
        <w:rPr>
          <w:rFonts w:ascii="宋体" w:hAnsi="宋体" w:eastAsia="宋体"/>
          <w:color w:val="000000" w:themeColor="text1"/>
          <w:szCs w:val="21"/>
          <w:u w:val="single"/>
          <w14:textFill>
            <w14:solidFill>
              <w14:schemeClr w14:val="tx1"/>
            </w14:solidFill>
          </w14:textFill>
        </w:rPr>
        <w:t>4</w:t>
      </w:r>
      <w:r>
        <w:rPr>
          <w:rFonts w:hint="eastAsia" w:ascii="宋体" w:hAnsi="宋体" w:eastAsia="宋体"/>
          <w:color w:val="000000" w:themeColor="text1"/>
          <w:szCs w:val="21"/>
          <w:u w:val="single"/>
          <w14:textFill>
            <w14:solidFill>
              <w14:schemeClr w14:val="tx1"/>
            </w14:solidFill>
          </w14:textFill>
        </w:rPr>
        <w:t>）承包人违反本合同约定义务，经发包人催告后在限期内未改正的</w:t>
      </w:r>
      <w:r>
        <w:rPr>
          <w:rFonts w:hint="eastAsia" w:ascii="宋体" w:hAnsi="宋体" w:eastAsia="宋体"/>
          <w:color w:val="000000" w:themeColor="text1"/>
          <w:kern w:val="0"/>
          <w:szCs w:val="21"/>
          <w:u w:val="single"/>
          <w14:textFill>
            <w14:solidFill>
              <w14:schemeClr w14:val="tx1"/>
            </w14:solidFill>
          </w14:textFill>
        </w:rPr>
        <w:t>。</w:t>
      </w:r>
    </w:p>
    <w:p w14:paraId="24B9A3ED">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w:t>
      </w:r>
      <w:r>
        <w:rPr>
          <w:rFonts w:hint="eastAsia" w:ascii="宋体" w:hAnsi="宋体" w:eastAsia="宋体"/>
          <w:color w:val="000000" w:themeColor="text1"/>
          <w:kern w:val="0"/>
          <w:szCs w:val="21"/>
          <w14:textFill>
            <w14:solidFill>
              <w14:schemeClr w14:val="tx1"/>
            </w14:solidFill>
          </w14:textFill>
        </w:rPr>
        <w:t>继续</w:t>
      </w:r>
      <w:r>
        <w:rPr>
          <w:rFonts w:ascii="宋体" w:hAnsi="宋体" w:eastAsia="宋体"/>
          <w:color w:val="000000" w:themeColor="text1"/>
          <w:kern w:val="0"/>
          <w:szCs w:val="21"/>
          <w14:textFill>
            <w14:solidFill>
              <w14:schemeClr w14:val="tx1"/>
            </w14:solidFill>
          </w14:textFill>
        </w:rPr>
        <w:t>使用承包人在施工现场的材料、设备、临时工程、承包人文件和由承包人或以其名义编制的其他文件</w:t>
      </w:r>
      <w:r>
        <w:rPr>
          <w:rFonts w:hint="eastAsia" w:ascii="宋体" w:hAnsi="宋体" w:eastAsia="宋体"/>
          <w:color w:val="000000" w:themeColor="text1"/>
          <w:kern w:val="0"/>
          <w:szCs w:val="21"/>
          <w14:textFill>
            <w14:solidFill>
              <w14:schemeClr w14:val="tx1"/>
            </w14:solidFill>
          </w14:textFill>
        </w:rPr>
        <w:t>的费用承担方式</w:t>
      </w: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u w:val="single"/>
          <w14:textFill>
            <w14:solidFill>
              <w14:schemeClr w14:val="tx1"/>
            </w14:solidFill>
          </w14:textFill>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olor w:val="000000" w:themeColor="text1"/>
          <w:kern w:val="0"/>
          <w:szCs w:val="21"/>
          <w14:textFill>
            <w14:solidFill>
              <w14:schemeClr w14:val="tx1"/>
            </w14:solidFill>
          </w14:textFill>
        </w:rPr>
        <w:t>。</w:t>
      </w:r>
    </w:p>
    <w:p w14:paraId="11C14AA0">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528" w:name="_Toc351203649"/>
      <w:r>
        <w:rPr>
          <w:rFonts w:hint="eastAsia" w:ascii="宋体" w:hAnsi="宋体" w:cs="黑体"/>
          <w:color w:val="000000" w:themeColor="text1"/>
          <w14:textFill>
            <w14:solidFill>
              <w14:schemeClr w14:val="tx1"/>
            </w14:solidFill>
          </w14:textFill>
        </w:rPr>
        <w:t>17. 不可抗力</w:t>
      </w:r>
      <w:bookmarkEnd w:id="528"/>
      <w:r>
        <w:rPr>
          <w:rFonts w:hint="eastAsia" w:ascii="宋体" w:hAnsi="宋体" w:cs="黑体"/>
          <w:color w:val="000000" w:themeColor="text1"/>
          <w14:textFill>
            <w14:solidFill>
              <w14:schemeClr w14:val="tx1"/>
            </w14:solidFill>
          </w14:textFill>
        </w:rPr>
        <w:t xml:space="preserve"> </w:t>
      </w:r>
      <w:bookmarkEnd w:id="526"/>
    </w:p>
    <w:p w14:paraId="2BDAD96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17.1 不可抗力的确认</w:t>
      </w:r>
    </w:p>
    <w:p w14:paraId="59D9E83B">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除通用合同条款约定的不可抗力事件之外，视为不可抗力的其他情形：</w:t>
      </w:r>
      <w:r>
        <w:rPr>
          <w:rFonts w:hint="eastAsia" w:ascii="宋体" w:hAnsi="宋体" w:eastAsia="宋体"/>
          <w:color w:val="000000" w:themeColor="text1"/>
          <w:szCs w:val="21"/>
          <w:u w:val="single"/>
          <w14:textFill>
            <w14:solidFill>
              <w14:schemeClr w14:val="tx1"/>
            </w14:solidFill>
          </w14:textFill>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ascii="宋体" w:hAnsi="宋体" w:eastAsia="宋体"/>
          <w:color w:val="000000" w:themeColor="text1"/>
          <w:kern w:val="0"/>
          <w:szCs w:val="21"/>
          <w14:textFill>
            <w14:solidFill>
              <w14:schemeClr w14:val="tx1"/>
            </w14:solidFill>
          </w14:textFill>
        </w:rPr>
        <w:t>。</w:t>
      </w:r>
    </w:p>
    <w:p w14:paraId="2203A5E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17.4 因不可抗力解除合同</w:t>
      </w:r>
    </w:p>
    <w:p w14:paraId="1EB0D05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合同解除后，发包人应在商定或确定发包人应支付款项后</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100</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天内完成款项的支付。</w:t>
      </w:r>
    </w:p>
    <w:p w14:paraId="40CBF2DD">
      <w:pPr>
        <w:pStyle w:val="7"/>
        <w:spacing w:line="400" w:lineRule="exact"/>
        <w:rPr>
          <w:rFonts w:ascii="宋体" w:hAnsi="宋体"/>
          <w:b w:val="0"/>
          <w:color w:val="000000" w:themeColor="text1"/>
          <w:szCs w:val="21"/>
          <w14:textFill>
            <w14:solidFill>
              <w14:schemeClr w14:val="tx1"/>
            </w14:solidFill>
          </w14:textFill>
        </w:rPr>
      </w:pPr>
      <w:bookmarkStart w:id="529" w:name="_Toc351203650"/>
      <w:r>
        <w:rPr>
          <w:rFonts w:ascii="宋体" w:hAnsi="宋体"/>
          <w:b w:val="0"/>
          <w:color w:val="000000" w:themeColor="text1"/>
          <w:szCs w:val="21"/>
          <w14:textFill>
            <w14:solidFill>
              <w14:schemeClr w14:val="tx1"/>
            </w14:solidFill>
          </w14:textFill>
        </w:rPr>
        <w:t>18. 保险</w:t>
      </w:r>
      <w:bookmarkEnd w:id="529"/>
    </w:p>
    <w:bookmarkEnd w:id="527"/>
    <w:p w14:paraId="31C35AB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18.1 工程保险</w:t>
      </w:r>
    </w:p>
    <w:p w14:paraId="43CE7857">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关于工程保险的特别约定</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148FD76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18.2工伤保险</w:t>
      </w:r>
    </w:p>
    <w:p w14:paraId="4487D68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18.2.2 承包人应依照法律规定参加工伤保险，并为其履行合同的全部员工办理工伤保险，缴纳工伤保险费，并要求分包人及由承包人为履行合同聘请的第三方依法参加工伤保险。</w:t>
      </w:r>
    </w:p>
    <w:p w14:paraId="5DEC970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18.3 其他保险</w:t>
      </w:r>
    </w:p>
    <w:p w14:paraId="139D1D0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关于其他保险的约定：</w:t>
      </w:r>
      <w:r>
        <w:rPr>
          <w:rFonts w:hint="eastAsia" w:ascii="宋体" w:hAnsi="宋体" w:eastAsia="宋体"/>
          <w:color w:val="000000" w:themeColor="text1"/>
          <w:szCs w:val="21"/>
          <w:u w:val="single"/>
          <w14:textFill>
            <w14:solidFill>
              <w14:schemeClr w14:val="tx1"/>
            </w14:solidFill>
          </w14:textFill>
        </w:rPr>
        <w:t>承包人需为施工场地内施工人员办理意外伤害保险和工伤保险等国家和地方政府规定的相关保险。</w:t>
      </w:r>
    </w:p>
    <w:p w14:paraId="23492911">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承包人是否应为其施工设备等办理财产保险：</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否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B2345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w:t>
      </w:r>
      <w:r>
        <w:rPr>
          <w:rFonts w:hint="eastAsia" w:ascii="宋体" w:hAnsi="宋体" w:eastAsia="宋体"/>
          <w:color w:val="000000" w:themeColor="text1"/>
          <w:szCs w:val="21"/>
          <w:lang w:val="en-US" w:eastAsia="zh-CN"/>
          <w14:textFill>
            <w14:solidFill>
              <w14:schemeClr w14:val="tx1"/>
            </w14:solidFill>
          </w14:textFill>
        </w:rPr>
        <w:t>4</w:t>
      </w:r>
      <w:r>
        <w:rPr>
          <w:rFonts w:ascii="宋体" w:hAnsi="宋体" w:eastAsia="宋体"/>
          <w:color w:val="000000" w:themeColor="text1"/>
          <w:szCs w:val="21"/>
          <w14:textFill>
            <w14:solidFill>
              <w14:schemeClr w14:val="tx1"/>
            </w14:solidFill>
          </w14:textFill>
        </w:rPr>
        <w:t xml:space="preserve"> 通知义务</w:t>
      </w:r>
    </w:p>
    <w:p w14:paraId="43FA70F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关于变更保险合同时的通知义务的约定：</w:t>
      </w:r>
      <w:r>
        <w:rPr>
          <w:rFonts w:hint="eastAsia" w:ascii="宋体" w:hAnsi="宋体" w:eastAsia="宋体"/>
          <w:color w:val="000000" w:themeColor="text1"/>
          <w:szCs w:val="21"/>
          <w:u w:val="single"/>
          <w14:textFill>
            <w14:solidFill>
              <w14:schemeClr w14:val="tx1"/>
            </w14:solidFill>
          </w14:textFill>
        </w:rPr>
        <w:t>承包人应及时通知发包人</w:t>
      </w:r>
      <w:r>
        <w:rPr>
          <w:rFonts w:ascii="宋体" w:hAnsi="宋体" w:eastAsia="宋体"/>
          <w:color w:val="000000" w:themeColor="text1"/>
          <w:szCs w:val="21"/>
          <w14:textFill>
            <w14:solidFill>
              <w14:schemeClr w14:val="tx1"/>
            </w14:solidFill>
          </w14:textFill>
        </w:rPr>
        <w:t>。</w:t>
      </w:r>
    </w:p>
    <w:bookmarkEnd w:id="503"/>
    <w:bookmarkEnd w:id="504"/>
    <w:bookmarkEnd w:id="505"/>
    <w:bookmarkEnd w:id="506"/>
    <w:bookmarkEnd w:id="507"/>
    <w:bookmarkEnd w:id="508"/>
    <w:bookmarkEnd w:id="509"/>
    <w:bookmarkEnd w:id="510"/>
    <w:bookmarkEnd w:id="511"/>
    <w:bookmarkEnd w:id="512"/>
    <w:bookmarkEnd w:id="513"/>
    <w:bookmarkEnd w:id="514"/>
    <w:p w14:paraId="0ED29575">
      <w:pPr>
        <w:pStyle w:val="7"/>
        <w:spacing w:line="400" w:lineRule="exact"/>
        <w:rPr>
          <w:rFonts w:ascii="宋体" w:hAnsi="宋体"/>
          <w:b w:val="0"/>
          <w:color w:val="000000" w:themeColor="text1"/>
          <w:szCs w:val="21"/>
          <w14:textFill>
            <w14:solidFill>
              <w14:schemeClr w14:val="tx1"/>
            </w14:solidFill>
          </w14:textFill>
        </w:rPr>
      </w:pPr>
      <w:bookmarkStart w:id="530" w:name="_Toc351203651"/>
      <w:r>
        <w:rPr>
          <w:rFonts w:hint="eastAsia" w:ascii="宋体" w:hAnsi="宋体"/>
          <w:b w:val="0"/>
          <w:color w:val="000000" w:themeColor="text1"/>
          <w:szCs w:val="21"/>
          <w:lang w:val="en-US" w:eastAsia="zh-CN"/>
          <w14:textFill>
            <w14:solidFill>
              <w14:schemeClr w14:val="tx1"/>
            </w14:solidFill>
          </w14:textFill>
        </w:rPr>
        <w:t>19</w:t>
      </w:r>
      <w:r>
        <w:rPr>
          <w:rFonts w:ascii="宋体" w:hAnsi="宋体"/>
          <w:b w:val="0"/>
          <w:color w:val="000000" w:themeColor="text1"/>
          <w:szCs w:val="21"/>
          <w14:textFill>
            <w14:solidFill>
              <w14:schemeClr w14:val="tx1"/>
            </w14:solidFill>
          </w14:textFill>
        </w:rPr>
        <w:t>. 争议解决</w:t>
      </w:r>
      <w:bookmarkEnd w:id="530"/>
    </w:p>
    <w:bookmarkEnd w:id="515"/>
    <w:bookmarkEnd w:id="516"/>
    <w:p w14:paraId="77BA6F3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lang w:val="en-US" w:eastAsia="zh-CN"/>
          <w14:textFill>
            <w14:solidFill>
              <w14:schemeClr w14:val="tx1"/>
            </w14:solidFill>
          </w14:textFill>
        </w:rPr>
        <w:t>19</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1</w:t>
      </w:r>
      <w:r>
        <w:rPr>
          <w:rFonts w:ascii="宋体" w:hAnsi="宋体" w:eastAsia="宋体"/>
          <w:color w:val="000000" w:themeColor="text1"/>
          <w:szCs w:val="21"/>
          <w14:textFill>
            <w14:solidFill>
              <w14:schemeClr w14:val="tx1"/>
            </w14:solidFill>
          </w14:textFill>
        </w:rPr>
        <w:t xml:space="preserve"> 争</w:t>
      </w:r>
      <w:bookmarkEnd w:id="517"/>
      <w:r>
        <w:rPr>
          <w:rFonts w:ascii="宋体" w:hAnsi="宋体" w:eastAsia="宋体"/>
          <w:color w:val="000000" w:themeColor="text1"/>
          <w:szCs w:val="21"/>
          <w14:textFill>
            <w14:solidFill>
              <w14:schemeClr w14:val="tx1"/>
            </w14:solidFill>
          </w14:textFill>
        </w:rPr>
        <w:t>议评审</w:t>
      </w:r>
    </w:p>
    <w:p w14:paraId="1D06E90B">
      <w:pPr>
        <w:spacing w:line="400" w:lineRule="exact"/>
        <w:ind w:left="149" w:leftChars="71" w:firstLine="315" w:firstLineChars="1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合同当事人是否同意将工程争议提交争议评审小组决</w:t>
      </w:r>
      <w:r>
        <w:rPr>
          <w:rFonts w:hint="eastAsia" w:ascii="宋体" w:hAnsi="宋体" w:eastAsia="宋体"/>
          <w:color w:val="000000" w:themeColor="text1"/>
          <w:szCs w:val="21"/>
          <w14:textFill>
            <w14:solidFill>
              <w14:schemeClr w14:val="tx1"/>
            </w14:solidFill>
          </w14:textFill>
        </w:rPr>
        <w:t>定：</w:t>
      </w:r>
      <w:r>
        <w:rPr>
          <w:rFonts w:hint="eastAsia" w:ascii="宋体" w:hAnsi="宋体" w:eastAsia="宋体"/>
          <w:color w:val="000000" w:themeColor="text1"/>
          <w:szCs w:val="21"/>
          <w:u w:val="single"/>
          <w14:textFill>
            <w14:solidFill>
              <w14:schemeClr w14:val="tx1"/>
            </w14:solidFill>
          </w14:textFill>
        </w:rPr>
        <w:t xml:space="preserve"> 否 </w:t>
      </w:r>
      <w:r>
        <w:rPr>
          <w:rFonts w:hint="eastAsia" w:ascii="宋体" w:hAnsi="宋体" w:eastAsia="宋体"/>
          <w:color w:val="000000" w:themeColor="text1"/>
          <w:szCs w:val="21"/>
          <w14:textFill>
            <w14:solidFill>
              <w14:schemeClr w14:val="tx1"/>
            </w14:solidFill>
          </w14:textFill>
        </w:rPr>
        <w:t xml:space="preserve">。  </w:t>
      </w:r>
    </w:p>
    <w:p w14:paraId="125A23E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lang w:val="en-US" w:eastAsia="zh-CN"/>
          <w14:textFill>
            <w14:solidFill>
              <w14:schemeClr w14:val="tx1"/>
            </w14:solidFill>
          </w14:textFill>
        </w:rPr>
        <w:t>19</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1</w:t>
      </w:r>
      <w:r>
        <w:rPr>
          <w:rFonts w:ascii="宋体" w:hAnsi="宋体" w:eastAsia="宋体"/>
          <w:color w:val="000000" w:themeColor="text1"/>
          <w:szCs w:val="21"/>
          <w14:textFill>
            <w14:solidFill>
              <w14:schemeClr w14:val="tx1"/>
            </w14:solidFill>
          </w14:textFill>
        </w:rPr>
        <w:t>.1 争议评审小组的确定</w:t>
      </w:r>
    </w:p>
    <w:p w14:paraId="7BEE207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争议评审小组成员的确定：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F406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选定争议评审员的期限：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39A3C9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争议评审小组成员的报酬承担方式：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D9B83A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其他事项的约定：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02B7752">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szCs w:val="21"/>
          <w:lang w:val="en-US" w:eastAsia="zh-CN"/>
          <w14:textFill>
            <w14:solidFill>
              <w14:schemeClr w14:val="tx1"/>
            </w14:solidFill>
          </w14:textFill>
        </w:rPr>
        <w:t>19</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1</w:t>
      </w:r>
      <w:r>
        <w:rPr>
          <w:rFonts w:ascii="宋体" w:hAnsi="宋体" w:eastAsia="宋体"/>
          <w:color w:val="000000" w:themeColor="text1"/>
          <w:kern w:val="0"/>
          <w:szCs w:val="21"/>
          <w14:textFill>
            <w14:solidFill>
              <w14:schemeClr w14:val="tx1"/>
            </w14:solidFill>
          </w14:textFill>
        </w:rPr>
        <w:t>.2 争议评审小组的决定</w:t>
      </w:r>
    </w:p>
    <w:p w14:paraId="4683961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合同当事人关于本项的约定：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9C3E44C">
      <w:pPr>
        <w:spacing w:line="400" w:lineRule="exact"/>
        <w:ind w:firstLine="420" w:firstLineChars="20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19</w:t>
      </w:r>
      <w:r>
        <w:rPr>
          <w:rFonts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2</w:t>
      </w:r>
      <w:r>
        <w:rPr>
          <w:rFonts w:ascii="宋体" w:hAnsi="宋体" w:eastAsia="宋体"/>
          <w:color w:val="000000" w:themeColor="text1"/>
          <w:szCs w:val="21"/>
          <w:highlight w:val="none"/>
          <w14:textFill>
            <w14:solidFill>
              <w14:schemeClr w14:val="tx1"/>
            </w14:solidFill>
          </w14:textFill>
        </w:rPr>
        <w:t>仲裁或诉讼</w:t>
      </w:r>
      <w:bookmarkEnd w:id="518"/>
    </w:p>
    <w:p w14:paraId="676F1BFD">
      <w:pPr>
        <w:spacing w:line="400" w:lineRule="exact"/>
        <w:ind w:firstLine="420" w:firstLineChars="200"/>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因合同及合同有关事项发生的争议，按下列第</w:t>
      </w:r>
      <w:r>
        <w:rPr>
          <w:rFonts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ascii="宋体" w:hAnsi="宋体" w:eastAsia="宋体"/>
          <w:color w:val="000000" w:themeColor="text1"/>
          <w:szCs w:val="21"/>
          <w:highlight w:val="none"/>
          <w:u w:val="single"/>
          <w14:textFill>
            <w14:solidFill>
              <w14:schemeClr w14:val="tx1"/>
            </w14:solidFill>
          </w14:textFill>
        </w:rPr>
        <w:t xml:space="preserve"> </w:t>
      </w:r>
      <w:r>
        <w:rPr>
          <w:rFonts w:ascii="宋体" w:hAnsi="宋体" w:eastAsia="宋体"/>
          <w:color w:val="000000" w:themeColor="text1"/>
          <w:szCs w:val="21"/>
          <w:highlight w:val="none"/>
          <w14:textFill>
            <w14:solidFill>
              <w14:schemeClr w14:val="tx1"/>
            </w14:solidFill>
          </w14:textFill>
        </w:rPr>
        <w:t>种方式</w:t>
      </w:r>
      <w:r>
        <w:rPr>
          <w:rFonts w:hint="eastAsia" w:ascii="宋体" w:hAnsi="宋体" w:eastAsia="宋体"/>
          <w:color w:val="000000" w:themeColor="text1"/>
          <w:szCs w:val="21"/>
          <w:highlight w:val="none"/>
          <w14:textFill>
            <w14:solidFill>
              <w14:schemeClr w14:val="tx1"/>
            </w14:solidFill>
          </w14:textFill>
        </w:rPr>
        <w:t>解</w:t>
      </w:r>
      <w:r>
        <w:rPr>
          <w:rFonts w:ascii="宋体" w:hAnsi="宋体" w:eastAsia="宋体"/>
          <w:color w:val="000000" w:themeColor="text1"/>
          <w:szCs w:val="21"/>
          <w:highlight w:val="none"/>
          <w14:textFill>
            <w14:solidFill>
              <w14:schemeClr w14:val="tx1"/>
            </w14:solidFill>
          </w14:textFill>
        </w:rPr>
        <w:t>决：</w:t>
      </w:r>
    </w:p>
    <w:p w14:paraId="35E4A159">
      <w:pPr>
        <w:spacing w:line="400" w:lineRule="exact"/>
        <w:ind w:firstLine="420" w:firstLineChars="200"/>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（1）向</w:t>
      </w:r>
      <w:r>
        <w:rPr>
          <w:rFonts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u w:val="single"/>
          <w14:textFill>
            <w14:solidFill>
              <w14:schemeClr w14:val="tx1"/>
            </w14:solidFill>
          </w14:textFill>
        </w:rPr>
        <w:t xml:space="preserve">西安 </w:t>
      </w:r>
      <w:r>
        <w:rPr>
          <w:rFonts w:ascii="宋体" w:hAnsi="宋体" w:eastAsia="宋体"/>
          <w:color w:val="000000" w:themeColor="text1"/>
          <w:szCs w:val="21"/>
          <w:highlight w:val="none"/>
          <w:u w:val="single"/>
          <w14:textFill>
            <w14:solidFill>
              <w14:schemeClr w14:val="tx1"/>
            </w14:solidFill>
          </w14:textFill>
        </w:rPr>
        <w:t xml:space="preserve">  </w:t>
      </w:r>
      <w:r>
        <w:rPr>
          <w:rFonts w:ascii="宋体" w:hAnsi="宋体" w:eastAsia="宋体"/>
          <w:color w:val="000000" w:themeColor="text1"/>
          <w:szCs w:val="21"/>
          <w:highlight w:val="none"/>
          <w14:textFill>
            <w14:solidFill>
              <w14:schemeClr w14:val="tx1"/>
            </w14:solidFill>
          </w14:textFill>
        </w:rPr>
        <w:t>仲裁委员会申请仲裁；</w:t>
      </w:r>
    </w:p>
    <w:p w14:paraId="32BCDB2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（2）向</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人民法院起诉。</w:t>
      </w:r>
      <w:bookmarkEnd w:id="519"/>
      <w:bookmarkEnd w:id="520"/>
      <w:bookmarkEnd w:id="521"/>
      <w:bookmarkEnd w:id="522"/>
      <w:bookmarkEnd w:id="523"/>
      <w:bookmarkEnd w:id="524"/>
    </w:p>
    <w:p w14:paraId="744BBB46">
      <w:pPr>
        <w:spacing w:line="400" w:lineRule="exact"/>
        <w:ind w:firstLine="422" w:firstLineChars="200"/>
        <w:jc w:val="left"/>
        <w:rPr>
          <w:rFonts w:ascii="宋体" w:hAnsi="宋体" w:eastAsia="宋体"/>
          <w:b/>
          <w:color w:val="000000" w:themeColor="text1"/>
          <w:szCs w:val="21"/>
          <w:u w:val="single"/>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补充条款：</w:t>
      </w:r>
      <w:r>
        <w:rPr>
          <w:rFonts w:hint="eastAsia" w:ascii="宋体" w:hAnsi="宋体" w:eastAsia="宋体"/>
          <w:b/>
          <w:color w:val="000000" w:themeColor="text1"/>
          <w:szCs w:val="21"/>
          <w:u w:val="single"/>
          <w14:textFill>
            <w14:solidFill>
              <w14:schemeClr w14:val="tx1"/>
            </w14:solidFill>
          </w14:textFill>
        </w:rPr>
        <w:t xml:space="preserve"> </w:t>
      </w:r>
      <w:r>
        <w:rPr>
          <w:rFonts w:ascii="宋体" w:hAnsi="宋体" w:eastAsia="宋体"/>
          <w:b/>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p>
    <w:p w14:paraId="03956B2C">
      <w:pPr>
        <w:spacing w:before="156" w:beforeLines="50" w:after="156" w:afterLines="50" w:line="480" w:lineRule="auto"/>
        <w:jc w:val="center"/>
        <w:rPr>
          <w:rFonts w:ascii="宋体" w:hAnsi="宋体" w:eastAsia="宋体"/>
          <w:b/>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br w:type="page"/>
      </w:r>
      <w:bookmarkStart w:id="531" w:name="_Toc351203652"/>
      <w:r>
        <w:rPr>
          <w:rFonts w:ascii="宋体" w:hAnsi="宋体" w:eastAsia="宋体"/>
          <w:b/>
          <w:color w:val="000000" w:themeColor="text1"/>
          <w:szCs w:val="21"/>
          <w14:textFill>
            <w14:solidFill>
              <w14:schemeClr w14:val="tx1"/>
            </w14:solidFill>
          </w14:textFill>
        </w:rPr>
        <w:t>工程质量保修书</w:t>
      </w:r>
    </w:p>
    <w:p w14:paraId="79440A21">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发包人（全称）：</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2975D62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承包人（全称）：</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1463E622">
      <w:pPr>
        <w:spacing w:line="360" w:lineRule="auto"/>
        <w:rPr>
          <w:rFonts w:ascii="宋体" w:hAnsi="宋体" w:eastAsia="宋体"/>
          <w:color w:val="000000" w:themeColor="text1"/>
          <w:szCs w:val="21"/>
          <w14:textFill>
            <w14:solidFill>
              <w14:schemeClr w14:val="tx1"/>
            </w14:solidFill>
          </w14:textFill>
        </w:rPr>
      </w:pPr>
    </w:p>
    <w:p w14:paraId="617441F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发包人和承包人根据《中华人民共和国建筑法》和《建设工程质量管理条例》，经协商一致就</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（工程全称）签订工程质量保修书。</w:t>
      </w:r>
    </w:p>
    <w:p w14:paraId="1CEFF565">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一、工程质量保修范围和内容</w:t>
      </w:r>
    </w:p>
    <w:p w14:paraId="6D450D04">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承包人在质量保修期内，按照有关法律规定和合同约定，承担工程质量保修责任。</w:t>
      </w:r>
    </w:p>
    <w:p w14:paraId="3F02D0DA">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4578A22">
      <w:pPr>
        <w:spacing w:line="360" w:lineRule="auto"/>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p>
    <w:p w14:paraId="4DD1640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p>
    <w:p w14:paraId="443196E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b/>
          <w:color w:val="000000" w:themeColor="text1"/>
          <w:szCs w:val="21"/>
          <w14:textFill>
            <w14:solidFill>
              <w14:schemeClr w14:val="tx1"/>
            </w14:solidFill>
          </w14:textFill>
        </w:rPr>
        <w:t>　　</w:t>
      </w:r>
      <w:r>
        <w:rPr>
          <w:rFonts w:ascii="宋体" w:hAnsi="宋体" w:eastAsia="宋体"/>
          <w:color w:val="000000" w:themeColor="text1"/>
          <w:szCs w:val="21"/>
          <w14:textFill>
            <w14:solidFill>
              <w14:schemeClr w14:val="tx1"/>
            </w14:solidFill>
          </w14:textFill>
        </w:rPr>
        <w:t>二、质量保修期</w:t>
      </w:r>
    </w:p>
    <w:p w14:paraId="4A48CFB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根据《建设工程质量管理条例》及有关规定，工程的质量保修期如下：</w:t>
      </w:r>
    </w:p>
    <w:p w14:paraId="76F0D0A0">
      <w:pPr>
        <w:spacing w:line="36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1．地基基础工程和主体结构工程为设计文件规定的工程合理使用年限；</w:t>
      </w:r>
    </w:p>
    <w:p w14:paraId="371D84C9">
      <w:pPr>
        <w:spacing w:line="36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屋面防水工程、有防水要求的卫生间、房间和外墙面的防渗</w:t>
      </w:r>
      <w:r>
        <w:rPr>
          <w:rFonts w:hint="eastAsia" w:ascii="宋体" w:hAnsi="宋体" w:eastAsia="宋体"/>
          <w:color w:val="000000" w:themeColor="text1"/>
          <w:szCs w:val="21"/>
          <w14:textFill>
            <w14:solidFill>
              <w14:schemeClr w14:val="tx1"/>
            </w14:solidFill>
          </w14:textFill>
        </w:rPr>
        <w:t>为</w:t>
      </w:r>
      <w:r>
        <w:rPr>
          <w:rFonts w:hint="eastAsia" w:ascii="宋体" w:hAnsi="宋体" w:eastAsia="宋体"/>
          <w:color w:val="000000" w:themeColor="text1"/>
          <w:szCs w:val="21"/>
          <w:u w:val="single"/>
          <w14:textFill>
            <w14:solidFill>
              <w14:schemeClr w14:val="tx1"/>
            </w14:solidFill>
          </w14:textFill>
        </w:rPr>
        <w:t xml:space="preserve">  5 </w:t>
      </w:r>
      <w:r>
        <w:rPr>
          <w:rFonts w:ascii="宋体" w:hAnsi="宋体" w:eastAsia="宋体"/>
          <w:color w:val="000000" w:themeColor="text1"/>
          <w:szCs w:val="21"/>
          <w14:textFill>
            <w14:solidFill>
              <w14:schemeClr w14:val="tx1"/>
            </w14:solidFill>
          </w14:textFill>
        </w:rPr>
        <w:t>年；</w:t>
      </w:r>
    </w:p>
    <w:p w14:paraId="00581EEB">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w:t>
      </w:r>
      <w:r>
        <w:rPr>
          <w:rFonts w:ascii="宋体" w:hAnsi="宋体" w:eastAsia="宋体"/>
          <w:color w:val="000000" w:themeColor="text1"/>
          <w:szCs w:val="21"/>
          <w14:textFill>
            <w14:solidFill>
              <w14:schemeClr w14:val="tx1"/>
            </w14:solidFill>
          </w14:textFill>
        </w:rPr>
        <w:t>装修工程为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3013BEEB">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w:t>
      </w:r>
      <w:r>
        <w:rPr>
          <w:rFonts w:ascii="宋体" w:hAnsi="宋体" w:eastAsia="宋体"/>
          <w:color w:val="000000" w:themeColor="text1"/>
          <w:szCs w:val="21"/>
          <w14:textFill>
            <w14:solidFill>
              <w14:schemeClr w14:val="tx1"/>
            </w14:solidFill>
          </w14:textFill>
        </w:rPr>
        <w:t>电气管线、给排水管道、设备安装工程为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7B91F3E8">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w:t>
      </w:r>
      <w:r>
        <w:rPr>
          <w:rFonts w:ascii="宋体" w:hAnsi="宋体" w:eastAsia="宋体"/>
          <w:color w:val="000000" w:themeColor="text1"/>
          <w:szCs w:val="21"/>
          <w14:textFill>
            <w14:solidFill>
              <w14:schemeClr w14:val="tx1"/>
            </w14:solidFill>
          </w14:textFill>
        </w:rPr>
        <w:t>供热与供冷系统为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个采暖期、供冷期；</w:t>
      </w:r>
    </w:p>
    <w:p w14:paraId="0F84E798">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w:t>
      </w:r>
      <w:r>
        <w:rPr>
          <w:rFonts w:ascii="宋体" w:hAnsi="宋体" w:eastAsia="宋体"/>
          <w:color w:val="000000" w:themeColor="text1"/>
          <w:szCs w:val="21"/>
          <w14:textFill>
            <w14:solidFill>
              <w14:schemeClr w14:val="tx1"/>
            </w14:solidFill>
          </w14:textFill>
        </w:rPr>
        <w:t>住宅小区内的给排水设施、道路等配套工程为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4854EFF1">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7．</w:t>
      </w:r>
      <w:r>
        <w:rPr>
          <w:rFonts w:ascii="宋体" w:hAnsi="宋体" w:eastAsia="宋体"/>
          <w:color w:val="000000" w:themeColor="text1"/>
          <w:szCs w:val="21"/>
          <w14:textFill>
            <w14:solidFill>
              <w14:schemeClr w14:val="tx1"/>
            </w14:solidFill>
          </w14:textFill>
        </w:rPr>
        <w:t>其他项目保修期限约定如下：</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9A5567C">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质量保修期自工程竣工验收合格之日起计算。</w:t>
      </w:r>
    </w:p>
    <w:p w14:paraId="2F219FDC">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三、缺陷责任期</w:t>
      </w:r>
    </w:p>
    <w:p w14:paraId="2E695E8A">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工程缺陷责任期为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个月，缺陷责任期自工程</w:t>
      </w:r>
      <w:r>
        <w:rPr>
          <w:rFonts w:hint="eastAsia" w:ascii="宋体" w:hAnsi="宋体" w:eastAsia="宋体"/>
          <w:color w:val="000000" w:themeColor="text1"/>
          <w:szCs w:val="21"/>
          <w14:textFill>
            <w14:solidFill>
              <w14:schemeClr w14:val="tx1"/>
            </w14:solidFill>
          </w14:textFill>
        </w:rPr>
        <w:t>通过</w:t>
      </w:r>
      <w:r>
        <w:rPr>
          <w:rFonts w:ascii="宋体" w:hAnsi="宋体" w:eastAsia="宋体"/>
          <w:color w:val="000000" w:themeColor="text1"/>
          <w:szCs w:val="21"/>
          <w14:textFill>
            <w14:solidFill>
              <w14:schemeClr w14:val="tx1"/>
            </w14:solidFill>
          </w14:textFill>
        </w:rPr>
        <w:t>竣工验收之日起计算。单位工程先于全部工程进行验收，单位工程缺陷责任期自单位工程验收合格之日起算。</w:t>
      </w:r>
    </w:p>
    <w:p w14:paraId="7EB43018">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缺陷责任期终止后，发包人应退还剩余的质量保证金。</w:t>
      </w:r>
    </w:p>
    <w:p w14:paraId="0D719ADC">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    四、质量保修责任</w:t>
      </w:r>
    </w:p>
    <w:p w14:paraId="21CD2592">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r>
        <w:rPr>
          <w:rFonts w:ascii="宋体" w:hAnsi="宋体" w:eastAsia="宋体"/>
          <w:color w:val="000000" w:themeColor="text1"/>
          <w:szCs w:val="21"/>
          <w14:textFill>
            <w14:solidFill>
              <w14:schemeClr w14:val="tx1"/>
            </w14:solidFill>
          </w14:textFill>
        </w:rPr>
        <w:t>属于保修范围、内容的项目，承包人应当在接到保修通知之日起7天内派人保修。承包人不在约定期限内派人保修的，发包人可以委托他人修理。</w:t>
      </w:r>
    </w:p>
    <w:p w14:paraId="4828A083">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发生紧急事故需抢修的，承包人在接到事故通知后，应当立即到达事故现场抢修。</w:t>
      </w:r>
    </w:p>
    <w:p w14:paraId="586B8F1B">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w:t>
      </w:r>
      <w:r>
        <w:rPr>
          <w:rFonts w:ascii="宋体" w:hAnsi="宋体" w:eastAsia="宋体"/>
          <w:color w:val="000000" w:themeColor="text1"/>
          <w:szCs w:val="21"/>
          <w14:textFill>
            <w14:solidFill>
              <w14:schemeClr w14:val="tx1"/>
            </w14:solidFill>
          </w14:textFill>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6434C65">
      <w:pPr>
        <w:spacing w:line="360" w:lineRule="auto"/>
        <w:ind w:left="420" w:leftChars="200" w:firstLine="105" w:firstLineChars="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w:t>
      </w:r>
      <w:r>
        <w:rPr>
          <w:rFonts w:ascii="宋体" w:hAnsi="宋体" w:eastAsia="宋体"/>
          <w:color w:val="000000" w:themeColor="text1"/>
          <w:szCs w:val="21"/>
          <w14:textFill>
            <w14:solidFill>
              <w14:schemeClr w14:val="tx1"/>
            </w14:solidFill>
          </w14:textFill>
        </w:rPr>
        <w:t>质量保修完成后，由发包人组织验收。</w:t>
      </w:r>
    </w:p>
    <w:p w14:paraId="1883D455">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五、保修费用</w:t>
      </w:r>
    </w:p>
    <w:p w14:paraId="2890F596">
      <w:pPr>
        <w:spacing w:line="360" w:lineRule="auto"/>
        <w:ind w:firstLine="405"/>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保修费用由造成质量缺陷的责任方承担。</w:t>
      </w:r>
    </w:p>
    <w:p w14:paraId="0943952C">
      <w:pPr>
        <w:spacing w:line="360" w:lineRule="auto"/>
        <w:ind w:firstLine="405"/>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六、双方约定的其他工程质量保修事项：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13C179B6">
      <w:pPr>
        <w:spacing w:line="360" w:lineRule="auto"/>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1437E88">
      <w:pPr>
        <w:spacing w:line="360" w:lineRule="auto"/>
        <w:ind w:firstLine="399" w:firstLineChars="19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工程质量保修书由发包人、承包人在工程竣工验收前共同签署，作为施工合同附件，其有效期限至保修期满。</w:t>
      </w:r>
    </w:p>
    <w:p w14:paraId="7F95C500">
      <w:pPr>
        <w:spacing w:line="360" w:lineRule="auto"/>
        <w:ind w:firstLine="420"/>
        <w:rPr>
          <w:rFonts w:ascii="宋体" w:hAnsi="宋体" w:eastAsia="宋体"/>
          <w:color w:val="000000" w:themeColor="text1"/>
          <w:szCs w:val="21"/>
          <w14:textFill>
            <w14:solidFill>
              <w14:schemeClr w14:val="tx1"/>
            </w14:solidFill>
          </w14:textFill>
        </w:rPr>
      </w:pPr>
    </w:p>
    <w:p w14:paraId="516C9251">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发包人(公章)：</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承包人(公章)：</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3EDC64E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地  址：</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056F84DD">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法定代表人(签字)：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法定代表人(签字)：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38C020DE">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委托代理人(签字)：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委托代理人(签字)：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335AD92D">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20B29879">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615A8C29">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10BEBF7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账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p>
    <w:p w14:paraId="35D0557F">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邮政编码：</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bookmarkEnd w:id="531"/>
    <w:p w14:paraId="2D81BF03">
      <w:pPr>
        <w:spacing w:line="400" w:lineRule="exact"/>
        <w:jc w:val="left"/>
        <w:rPr>
          <w:rFonts w:ascii="宋体" w:hAnsi="宋体" w:eastAsia="宋体"/>
          <w:b/>
          <w:color w:val="000000" w:themeColor="text1"/>
          <w:szCs w:val="21"/>
          <w14:textFill>
            <w14:solidFill>
              <w14:schemeClr w14:val="tx1"/>
            </w14:solidFill>
          </w14:textFill>
        </w:rPr>
      </w:pPr>
    </w:p>
    <w:p w14:paraId="543DCDB3">
      <w:pPr>
        <w:pStyle w:val="2"/>
        <w:rPr>
          <w:rFonts w:ascii="宋体" w:hAnsi="宋体" w:eastAsia="宋体"/>
          <w:b/>
          <w:color w:val="000000" w:themeColor="text1"/>
          <w:szCs w:val="21"/>
          <w14:textFill>
            <w14:solidFill>
              <w14:schemeClr w14:val="tx1"/>
            </w14:solidFill>
          </w14:textFill>
        </w:rPr>
      </w:pPr>
    </w:p>
    <w:p w14:paraId="432ACF1D">
      <w:pPr>
        <w:rPr>
          <w:rFonts w:ascii="宋体" w:hAnsi="宋体" w:eastAsia="宋体"/>
          <w:b/>
          <w:color w:val="000000" w:themeColor="text1"/>
          <w:szCs w:val="21"/>
          <w14:textFill>
            <w14:solidFill>
              <w14:schemeClr w14:val="tx1"/>
            </w14:solidFill>
          </w14:textFill>
        </w:rPr>
      </w:pPr>
    </w:p>
    <w:p w14:paraId="1DE5B9F4">
      <w:pPr>
        <w:pStyle w:val="2"/>
        <w:rPr>
          <w:rFonts w:ascii="宋体" w:hAnsi="宋体" w:eastAsia="宋体"/>
          <w:b/>
          <w:color w:val="000000" w:themeColor="text1"/>
          <w:szCs w:val="21"/>
          <w14:textFill>
            <w14:solidFill>
              <w14:schemeClr w14:val="tx1"/>
            </w14:solidFill>
          </w14:textFill>
        </w:rPr>
      </w:pPr>
    </w:p>
    <w:p w14:paraId="7FF135C3">
      <w:pPr>
        <w:rPr>
          <w:rFonts w:ascii="宋体" w:hAnsi="宋体" w:eastAsia="宋体"/>
          <w:b/>
          <w:color w:val="000000" w:themeColor="text1"/>
          <w:szCs w:val="21"/>
          <w14:textFill>
            <w14:solidFill>
              <w14:schemeClr w14:val="tx1"/>
            </w14:solidFill>
          </w14:textFill>
        </w:rPr>
      </w:pPr>
    </w:p>
    <w:p w14:paraId="0695FB19">
      <w:pPr>
        <w:pStyle w:val="2"/>
        <w:rPr>
          <w:rFonts w:ascii="宋体" w:hAnsi="宋体" w:eastAsia="宋体"/>
          <w:b/>
          <w:color w:val="000000" w:themeColor="text1"/>
          <w:szCs w:val="21"/>
          <w14:textFill>
            <w14:solidFill>
              <w14:schemeClr w14:val="tx1"/>
            </w14:solidFill>
          </w14:textFill>
        </w:rPr>
      </w:pPr>
    </w:p>
    <w:p w14:paraId="2D381FE0">
      <w:pPr>
        <w:rPr>
          <w:rFonts w:ascii="宋体" w:hAnsi="宋体" w:eastAsia="宋体"/>
          <w:b/>
          <w:color w:val="000000" w:themeColor="text1"/>
          <w:szCs w:val="21"/>
          <w14:textFill>
            <w14:solidFill>
              <w14:schemeClr w14:val="tx1"/>
            </w14:solidFill>
          </w14:textFill>
        </w:rPr>
      </w:pPr>
    </w:p>
    <w:p w14:paraId="437AC098">
      <w:pPr>
        <w:pStyle w:val="2"/>
        <w:rPr>
          <w:rFonts w:ascii="宋体" w:hAnsi="宋体" w:eastAsia="宋体"/>
          <w:b/>
          <w:color w:val="000000" w:themeColor="text1"/>
          <w:szCs w:val="21"/>
          <w14:textFill>
            <w14:solidFill>
              <w14:schemeClr w14:val="tx1"/>
            </w14:solidFill>
          </w14:textFill>
        </w:rPr>
      </w:pPr>
    </w:p>
    <w:p w14:paraId="4478C48C">
      <w:pPr>
        <w:rPr>
          <w:rFonts w:ascii="宋体" w:hAnsi="宋体" w:eastAsia="宋体"/>
          <w:b/>
          <w:color w:val="000000" w:themeColor="text1"/>
          <w:szCs w:val="21"/>
          <w14:textFill>
            <w14:solidFill>
              <w14:schemeClr w14:val="tx1"/>
            </w14:solidFill>
          </w14:textFill>
        </w:rPr>
      </w:pPr>
    </w:p>
    <w:p w14:paraId="3415D098">
      <w:pPr>
        <w:pStyle w:val="2"/>
        <w:rPr>
          <w:rFonts w:ascii="宋体" w:hAnsi="宋体" w:eastAsia="宋体"/>
          <w:b/>
          <w:color w:val="000000" w:themeColor="text1"/>
          <w:szCs w:val="21"/>
          <w14:textFill>
            <w14:solidFill>
              <w14:schemeClr w14:val="tx1"/>
            </w14:solidFill>
          </w14:textFill>
        </w:rPr>
      </w:pPr>
    </w:p>
    <w:p w14:paraId="463B53F9">
      <w:pPr>
        <w:spacing w:line="360" w:lineRule="auto"/>
        <w:jc w:val="left"/>
        <w:rPr>
          <w:rFonts w:hint="eastAsia" w:ascii="宋体" w:hAnsi="宋体" w:eastAsia="宋体" w:cs="宋体"/>
          <w:b/>
          <w:color w:val="000000"/>
          <w:sz w:val="24"/>
          <w:szCs w:val="24"/>
        </w:rPr>
      </w:pPr>
      <w:r>
        <w:rPr>
          <w:rFonts w:hint="eastAsia" w:ascii="宋体" w:hAnsi="宋体" w:eastAsia="宋体" w:cs="宋体"/>
          <w:b/>
          <w:color w:val="000000"/>
          <w:sz w:val="24"/>
          <w:szCs w:val="24"/>
        </w:rPr>
        <w:t>附件</w:t>
      </w:r>
    </w:p>
    <w:p w14:paraId="3738332B">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协议书附件：</w:t>
      </w:r>
    </w:p>
    <w:p w14:paraId="11640A97">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附件1：承包人承揽工程项目一览表</w:t>
      </w:r>
    </w:p>
    <w:p w14:paraId="7E53C15C">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专用合同条款附件：</w:t>
      </w:r>
    </w:p>
    <w:p w14:paraId="0D6B9E20">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附件2：发包人供应材料设备一览表</w:t>
      </w:r>
    </w:p>
    <w:p w14:paraId="20198AB3">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附件3：工程质量保修书</w:t>
      </w:r>
    </w:p>
    <w:p w14:paraId="030266D7">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附件4：主要建设工程文件目录</w:t>
      </w:r>
    </w:p>
    <w:p w14:paraId="76EA3DEB">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附件5：承包人用于本工程施工的机械设备表</w:t>
      </w:r>
    </w:p>
    <w:p w14:paraId="63F8BAAA">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附件6：承包人主要施工管理人员表</w:t>
      </w:r>
    </w:p>
    <w:p w14:paraId="33521F54">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附件7：分包人主要施工管理人员表</w:t>
      </w:r>
    </w:p>
    <w:p w14:paraId="07E0C75A">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附件8：履约担保格式</w:t>
      </w:r>
    </w:p>
    <w:p w14:paraId="235E54C8">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附件9：预付款担保格式</w:t>
      </w:r>
    </w:p>
    <w:p w14:paraId="3DFDE2EE">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附件10：支付担保格式</w:t>
      </w:r>
    </w:p>
    <w:p w14:paraId="344C57B8">
      <w:pPr>
        <w:spacing w:line="360" w:lineRule="auto"/>
        <w:jc w:val="left"/>
        <w:rPr>
          <w:rFonts w:hint="eastAsia" w:ascii="宋体" w:hAnsi="宋体" w:eastAsia="宋体" w:cs="宋体"/>
          <w:color w:val="000000"/>
          <w:sz w:val="24"/>
          <w:szCs w:val="24"/>
        </w:rPr>
        <w:sectPr>
          <w:headerReference r:id="rId4" w:type="first"/>
          <w:footerReference r:id="rId6" w:type="first"/>
          <w:headerReference r:id="rId3" w:type="default"/>
          <w:footerReference r:id="rId5" w:type="default"/>
          <w:pgSz w:w="11906" w:h="16838"/>
          <w:pgMar w:top="1418" w:right="1555" w:bottom="1418" w:left="1531" w:header="851" w:footer="992" w:gutter="0"/>
          <w:cols w:space="720" w:num="1"/>
          <w:titlePg/>
          <w:docGrid w:type="lines" w:linePitch="312" w:charSpace="0"/>
        </w:sectPr>
      </w:pPr>
      <w:r>
        <w:rPr>
          <w:rFonts w:hint="eastAsia" w:ascii="宋体" w:hAnsi="宋体" w:eastAsia="宋体" w:cs="宋体"/>
          <w:color w:val="000000"/>
          <w:sz w:val="24"/>
          <w:szCs w:val="24"/>
        </w:rPr>
        <w:t>附件11：暂估价一览表</w:t>
      </w:r>
    </w:p>
    <w:p w14:paraId="7038B974">
      <w:pPr>
        <w:spacing w:before="156" w:beforeLines="50" w:after="156" w:afterLines="50"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附件1：</w:t>
      </w:r>
    </w:p>
    <w:p w14:paraId="0DBEA234">
      <w:pPr>
        <w:spacing w:before="156" w:beforeLines="50" w:after="156" w:afterLines="50" w:line="24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承包人承揽工程项目一览表</w:t>
      </w:r>
    </w:p>
    <w:tbl>
      <w:tblPr>
        <w:tblStyle w:val="41"/>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3F3EE7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17DC6303">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单位工程名称</w:t>
            </w:r>
          </w:p>
        </w:tc>
        <w:tc>
          <w:tcPr>
            <w:tcW w:w="1843" w:type="dxa"/>
            <w:tcBorders>
              <w:top w:val="single" w:color="auto" w:sz="12" w:space="0"/>
              <w:bottom w:val="double" w:color="auto" w:sz="6" w:space="0"/>
            </w:tcBorders>
            <w:noWrap w:val="0"/>
            <w:vAlign w:val="center"/>
          </w:tcPr>
          <w:p w14:paraId="2C227F39">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建设规模</w:t>
            </w:r>
          </w:p>
        </w:tc>
        <w:tc>
          <w:tcPr>
            <w:tcW w:w="1417" w:type="dxa"/>
            <w:tcBorders>
              <w:top w:val="single" w:color="auto" w:sz="12" w:space="0"/>
              <w:bottom w:val="double" w:color="auto" w:sz="6" w:space="0"/>
            </w:tcBorders>
            <w:noWrap w:val="0"/>
            <w:vAlign w:val="center"/>
          </w:tcPr>
          <w:p w14:paraId="677D9057">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建筑面积(平方米)</w:t>
            </w:r>
          </w:p>
        </w:tc>
        <w:tc>
          <w:tcPr>
            <w:tcW w:w="2410" w:type="dxa"/>
            <w:tcBorders>
              <w:top w:val="single" w:color="auto" w:sz="12" w:space="0"/>
              <w:bottom w:val="double" w:color="auto" w:sz="6" w:space="0"/>
            </w:tcBorders>
            <w:noWrap w:val="0"/>
            <w:vAlign w:val="center"/>
          </w:tcPr>
          <w:p w14:paraId="2EA57ED8">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结构形式</w:t>
            </w:r>
          </w:p>
        </w:tc>
        <w:tc>
          <w:tcPr>
            <w:tcW w:w="850" w:type="dxa"/>
            <w:tcBorders>
              <w:top w:val="single" w:color="auto" w:sz="12" w:space="0"/>
              <w:bottom w:val="double" w:color="auto" w:sz="6" w:space="0"/>
            </w:tcBorders>
            <w:noWrap w:val="0"/>
            <w:vAlign w:val="center"/>
          </w:tcPr>
          <w:p w14:paraId="0A5C69D5">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层数</w:t>
            </w:r>
          </w:p>
        </w:tc>
        <w:tc>
          <w:tcPr>
            <w:tcW w:w="1560" w:type="dxa"/>
            <w:tcBorders>
              <w:top w:val="single" w:color="auto" w:sz="12" w:space="0"/>
              <w:bottom w:val="double" w:color="auto" w:sz="6" w:space="0"/>
            </w:tcBorders>
            <w:noWrap w:val="0"/>
            <w:vAlign w:val="center"/>
          </w:tcPr>
          <w:p w14:paraId="1B1CC084">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生产能力</w:t>
            </w:r>
          </w:p>
        </w:tc>
        <w:tc>
          <w:tcPr>
            <w:tcW w:w="2126" w:type="dxa"/>
            <w:tcBorders>
              <w:top w:val="single" w:color="auto" w:sz="12" w:space="0"/>
              <w:bottom w:val="double" w:color="auto" w:sz="6" w:space="0"/>
            </w:tcBorders>
            <w:noWrap w:val="0"/>
            <w:vAlign w:val="center"/>
          </w:tcPr>
          <w:p w14:paraId="561708C5">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设备安装内容</w:t>
            </w:r>
          </w:p>
        </w:tc>
        <w:tc>
          <w:tcPr>
            <w:tcW w:w="1417" w:type="dxa"/>
            <w:tcBorders>
              <w:top w:val="single" w:color="auto" w:sz="12" w:space="0"/>
              <w:bottom w:val="double" w:color="auto" w:sz="6" w:space="0"/>
            </w:tcBorders>
            <w:noWrap w:val="0"/>
            <w:vAlign w:val="center"/>
          </w:tcPr>
          <w:p w14:paraId="2ADFE8CF">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合同价格（元）</w:t>
            </w:r>
          </w:p>
        </w:tc>
        <w:tc>
          <w:tcPr>
            <w:tcW w:w="851" w:type="dxa"/>
            <w:tcBorders>
              <w:top w:val="single" w:color="auto" w:sz="12" w:space="0"/>
              <w:bottom w:val="double" w:color="auto" w:sz="6" w:space="0"/>
            </w:tcBorders>
            <w:noWrap w:val="0"/>
            <w:vAlign w:val="center"/>
          </w:tcPr>
          <w:p w14:paraId="146426B5">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开工日期</w:t>
            </w:r>
          </w:p>
        </w:tc>
        <w:tc>
          <w:tcPr>
            <w:tcW w:w="850" w:type="dxa"/>
            <w:tcBorders>
              <w:top w:val="single" w:color="auto" w:sz="12" w:space="0"/>
              <w:bottom w:val="double" w:color="auto" w:sz="6" w:space="0"/>
            </w:tcBorders>
            <w:noWrap w:val="0"/>
            <w:vAlign w:val="center"/>
          </w:tcPr>
          <w:p w14:paraId="18C201B3">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竣工日期</w:t>
            </w:r>
          </w:p>
        </w:tc>
      </w:tr>
      <w:tr w14:paraId="09C64F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3976AAFE">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tcBorders>
              <w:top w:val="double" w:color="auto" w:sz="6" w:space="0"/>
              <w:bottom w:val="single" w:color="auto" w:sz="6" w:space="0"/>
            </w:tcBorders>
            <w:noWrap w:val="0"/>
            <w:vAlign w:val="center"/>
          </w:tcPr>
          <w:p w14:paraId="6941F08C">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double" w:color="auto" w:sz="6" w:space="0"/>
              <w:bottom w:val="single" w:color="auto" w:sz="6" w:space="0"/>
            </w:tcBorders>
            <w:noWrap w:val="0"/>
            <w:vAlign w:val="center"/>
          </w:tcPr>
          <w:p w14:paraId="45A79E42">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tcBorders>
              <w:top w:val="double" w:color="auto" w:sz="6" w:space="0"/>
              <w:bottom w:val="single" w:color="auto" w:sz="6" w:space="0"/>
            </w:tcBorders>
            <w:noWrap w:val="0"/>
            <w:vAlign w:val="center"/>
          </w:tcPr>
          <w:p w14:paraId="404283E9">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double" w:color="auto" w:sz="6" w:space="0"/>
              <w:bottom w:val="single" w:color="auto" w:sz="6" w:space="0"/>
            </w:tcBorders>
            <w:noWrap w:val="0"/>
            <w:vAlign w:val="center"/>
          </w:tcPr>
          <w:p w14:paraId="49F8D620">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tcBorders>
              <w:top w:val="double" w:color="auto" w:sz="6" w:space="0"/>
              <w:bottom w:val="single" w:color="auto" w:sz="6" w:space="0"/>
            </w:tcBorders>
            <w:noWrap w:val="0"/>
            <w:vAlign w:val="center"/>
          </w:tcPr>
          <w:p w14:paraId="7D9B330B">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tcBorders>
              <w:top w:val="double" w:color="auto" w:sz="6" w:space="0"/>
              <w:bottom w:val="single" w:color="auto" w:sz="6" w:space="0"/>
            </w:tcBorders>
            <w:noWrap w:val="0"/>
            <w:vAlign w:val="center"/>
          </w:tcPr>
          <w:p w14:paraId="460687E2">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double" w:color="auto" w:sz="6" w:space="0"/>
              <w:bottom w:val="single" w:color="auto" w:sz="6" w:space="0"/>
            </w:tcBorders>
            <w:noWrap w:val="0"/>
            <w:vAlign w:val="center"/>
          </w:tcPr>
          <w:p w14:paraId="28C7F5BD">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tcBorders>
              <w:top w:val="double" w:color="auto" w:sz="6" w:space="0"/>
              <w:bottom w:val="single" w:color="auto" w:sz="6" w:space="0"/>
            </w:tcBorders>
            <w:noWrap w:val="0"/>
            <w:vAlign w:val="center"/>
          </w:tcPr>
          <w:p w14:paraId="2FD8FDC1">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double" w:color="auto" w:sz="6" w:space="0"/>
              <w:bottom w:val="single" w:color="auto" w:sz="6" w:space="0"/>
            </w:tcBorders>
            <w:noWrap w:val="0"/>
            <w:vAlign w:val="center"/>
          </w:tcPr>
          <w:p w14:paraId="0B4BF364">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3FB49C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47BEFAB">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3CB8B326">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6CB0B5B9">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4AA09D51">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30879AE1">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55F6B2B7">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4A550C16">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371EF19E">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035420AD">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69BF8878">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3D964F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A41E803">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077E4618">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2C305B8C">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18138D1B">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74C957FC">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4128FA56">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503E7825">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062E629C">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3EA4094E">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2E4D0F26">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39502F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017CC1D0">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162E8778">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405C2800">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2DAE95D1">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4E60FCB9">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495F84F4">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532931A4">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7CE5235B">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19B48587">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70D01D1E">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5C172E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09120D2">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73C7DD38">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66345A6B">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04BCFF17">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00C4F32B">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4F5305E2">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74189943">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448C1145">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62180DA5">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42760ECA">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022E51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4E536E1">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21AA7CE6">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36D2B508">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0DBEA076">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2B5E58B3">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2054D4F8">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4C8AD97E">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2B95DF68">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76D66B8A">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34DDFCAD">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79F384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1F42B2D">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56AA0EB0">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77C3B879">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4F257CFE">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3E4F1466">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7DF7C3A7">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3EE25DB2">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10F725E4">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2F4104FD">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2C192B32">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38DA3B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C6DDD53">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1481A698">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6C2CC492">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554549D7">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47B06070">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3A329DAB">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55EDD419">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03592009">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2F756D27">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4236AC0B">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2B1454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D53C145">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0CA5C587">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25EFE4F6">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632BF1A0">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1CD283DC">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0FACD0E2">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6B61CF25">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5D9CA5DB">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3194B7AC">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0F21048B">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2B75A2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B5F6E2A">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6FF6AE2F">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24D769D7">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138DA634">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5F5CBF01">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0195A483">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15107344">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2400EAD1">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582FEAB7">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07949D46">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5A6FD5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276F6F36">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240CCD09">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3861AC08">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7264C170">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7ED56DE6">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76D1075F">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52E18D08">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6DBB62A5">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561BCF62">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2A259FF5">
            <w:pPr>
              <w:pStyle w:val="2"/>
              <w:keepNext/>
              <w:spacing w:after="0" w:line="240" w:lineRule="auto"/>
              <w:ind w:left="63" w:right="63"/>
              <w:rPr>
                <w:rFonts w:hint="eastAsia" w:ascii="宋体" w:hAnsi="宋体" w:eastAsia="宋体" w:cs="宋体"/>
                <w:color w:val="000000"/>
                <w:kern w:val="2"/>
                <w:sz w:val="24"/>
                <w:szCs w:val="24"/>
                <w:lang w:val="en-US" w:eastAsia="zh-CN"/>
              </w:rPr>
            </w:pPr>
          </w:p>
        </w:tc>
      </w:tr>
    </w:tbl>
    <w:p w14:paraId="111DC06C">
      <w:pPr>
        <w:spacing w:line="360" w:lineRule="auto"/>
        <w:rPr>
          <w:rFonts w:hint="eastAsia" w:ascii="宋体" w:hAnsi="宋体" w:eastAsia="宋体" w:cs="宋体"/>
          <w:b/>
          <w:color w:val="000000"/>
          <w:sz w:val="24"/>
          <w:szCs w:val="24"/>
        </w:rPr>
        <w:sectPr>
          <w:pgSz w:w="16838" w:h="11906" w:orient="landscape"/>
          <w:pgMar w:top="1554" w:right="1418" w:bottom="1531" w:left="1418" w:header="851" w:footer="992" w:gutter="0"/>
          <w:cols w:space="720" w:num="1"/>
          <w:titlePg/>
          <w:docGrid w:type="linesAndChars" w:linePitch="312" w:charSpace="0"/>
        </w:sectPr>
      </w:pPr>
    </w:p>
    <w:p w14:paraId="1B0E22CF">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532" w:name="_Toc296346726"/>
      <w:bookmarkStart w:id="533" w:name="_Toc296891053"/>
      <w:bookmarkStart w:id="534" w:name="_Toc296503225"/>
      <w:bookmarkStart w:id="535" w:name="_Toc296347224"/>
      <w:bookmarkStart w:id="536" w:name="_Toc267261692"/>
      <w:bookmarkStart w:id="537" w:name="_Toc296891265"/>
      <w:bookmarkStart w:id="538" w:name="_Toc296944564"/>
      <w:r>
        <w:rPr>
          <w:rFonts w:hint="eastAsia" w:ascii="宋体" w:hAnsi="宋体" w:eastAsia="宋体" w:cs="宋体"/>
          <w:color w:val="000000"/>
          <w:sz w:val="24"/>
          <w:szCs w:val="24"/>
        </w:rPr>
        <w:t>件2：</w:t>
      </w:r>
    </w:p>
    <w:bookmarkEnd w:id="532"/>
    <w:bookmarkEnd w:id="533"/>
    <w:bookmarkEnd w:id="534"/>
    <w:bookmarkEnd w:id="535"/>
    <w:bookmarkEnd w:id="536"/>
    <w:bookmarkEnd w:id="537"/>
    <w:bookmarkEnd w:id="538"/>
    <w:p w14:paraId="12001F6B">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发包人供应材料设备一览表</w:t>
      </w:r>
    </w:p>
    <w:tbl>
      <w:tblPr>
        <w:tblStyle w:val="41"/>
        <w:tblW w:w="4996"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654"/>
        <w:gridCol w:w="987"/>
        <w:gridCol w:w="1097"/>
        <w:gridCol w:w="724"/>
        <w:gridCol w:w="654"/>
        <w:gridCol w:w="902"/>
        <w:gridCol w:w="765"/>
        <w:gridCol w:w="655"/>
        <w:gridCol w:w="1152"/>
        <w:gridCol w:w="765"/>
      </w:tblGrid>
      <w:tr w14:paraId="501771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97" w:type="pct"/>
            <w:tcBorders>
              <w:top w:val="single" w:color="auto" w:sz="12" w:space="0"/>
              <w:bottom w:val="double" w:color="auto" w:sz="6" w:space="0"/>
            </w:tcBorders>
            <w:noWrap w:val="0"/>
            <w:vAlign w:val="center"/>
          </w:tcPr>
          <w:p w14:paraId="41AE6780">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596" w:type="pct"/>
            <w:tcBorders>
              <w:top w:val="single" w:color="auto" w:sz="12" w:space="0"/>
              <w:bottom w:val="double" w:color="auto" w:sz="6" w:space="0"/>
            </w:tcBorders>
            <w:noWrap w:val="0"/>
            <w:vAlign w:val="center"/>
          </w:tcPr>
          <w:p w14:paraId="64AE134E">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材料、</w:t>
            </w:r>
          </w:p>
          <w:p w14:paraId="2CA93116">
            <w:pPr>
              <w:pStyle w:val="2"/>
              <w:keepNext/>
              <w:spacing w:after="0" w:line="360" w:lineRule="auto"/>
              <w:ind w:left="0" w:leftChars="0" w:right="63"/>
              <w:jc w:val="both"/>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设备品种</w:t>
            </w:r>
          </w:p>
        </w:tc>
        <w:tc>
          <w:tcPr>
            <w:tcW w:w="662" w:type="pct"/>
            <w:tcBorders>
              <w:top w:val="single" w:color="auto" w:sz="12" w:space="0"/>
              <w:bottom w:val="double" w:color="auto" w:sz="6" w:space="0"/>
            </w:tcBorders>
            <w:noWrap w:val="0"/>
            <w:vAlign w:val="center"/>
          </w:tcPr>
          <w:p w14:paraId="056141E4">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规格型号</w:t>
            </w:r>
          </w:p>
        </w:tc>
        <w:tc>
          <w:tcPr>
            <w:tcW w:w="439" w:type="pct"/>
            <w:tcBorders>
              <w:top w:val="single" w:color="auto" w:sz="12" w:space="0"/>
              <w:bottom w:val="double" w:color="auto" w:sz="6" w:space="0"/>
            </w:tcBorders>
            <w:noWrap w:val="0"/>
            <w:vAlign w:val="center"/>
          </w:tcPr>
          <w:p w14:paraId="1E5DD13A">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w:t>
            </w:r>
          </w:p>
        </w:tc>
        <w:tc>
          <w:tcPr>
            <w:tcW w:w="397" w:type="pct"/>
            <w:tcBorders>
              <w:top w:val="single" w:color="auto" w:sz="12" w:space="0"/>
              <w:bottom w:val="double" w:color="auto" w:sz="6" w:space="0"/>
            </w:tcBorders>
            <w:noWrap w:val="0"/>
            <w:vAlign w:val="center"/>
          </w:tcPr>
          <w:p w14:paraId="2162E49D">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487" w:type="pct"/>
            <w:tcBorders>
              <w:top w:val="single" w:color="auto" w:sz="12" w:space="0"/>
              <w:bottom w:val="double" w:color="auto" w:sz="6" w:space="0"/>
            </w:tcBorders>
            <w:noWrap w:val="0"/>
            <w:vAlign w:val="center"/>
          </w:tcPr>
          <w:p w14:paraId="1117737F">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单价（元）</w:t>
            </w:r>
          </w:p>
        </w:tc>
        <w:tc>
          <w:tcPr>
            <w:tcW w:w="463" w:type="pct"/>
            <w:tcBorders>
              <w:top w:val="single" w:color="auto" w:sz="12" w:space="0"/>
              <w:bottom w:val="double" w:color="auto" w:sz="6" w:space="0"/>
            </w:tcBorders>
            <w:noWrap w:val="0"/>
            <w:vAlign w:val="center"/>
          </w:tcPr>
          <w:p w14:paraId="4E50A9AA">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质量等级</w:t>
            </w:r>
          </w:p>
        </w:tc>
        <w:tc>
          <w:tcPr>
            <w:tcW w:w="397" w:type="pct"/>
            <w:tcBorders>
              <w:top w:val="single" w:color="auto" w:sz="12" w:space="0"/>
              <w:bottom w:val="double" w:color="auto" w:sz="6" w:space="0"/>
            </w:tcBorders>
            <w:noWrap w:val="0"/>
            <w:vAlign w:val="center"/>
          </w:tcPr>
          <w:p w14:paraId="4BD6ED21">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供应时间</w:t>
            </w:r>
          </w:p>
        </w:tc>
        <w:tc>
          <w:tcPr>
            <w:tcW w:w="694" w:type="pct"/>
            <w:tcBorders>
              <w:top w:val="single" w:color="auto" w:sz="12" w:space="0"/>
              <w:bottom w:val="double" w:color="auto" w:sz="6" w:space="0"/>
            </w:tcBorders>
            <w:noWrap w:val="0"/>
            <w:vAlign w:val="center"/>
          </w:tcPr>
          <w:p w14:paraId="058E3C0F">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送达地点</w:t>
            </w:r>
          </w:p>
        </w:tc>
        <w:tc>
          <w:tcPr>
            <w:tcW w:w="463" w:type="pct"/>
            <w:tcBorders>
              <w:top w:val="single" w:color="auto" w:sz="12" w:space="0"/>
              <w:bottom w:val="double" w:color="auto" w:sz="6" w:space="0"/>
            </w:tcBorders>
            <w:noWrap w:val="0"/>
            <w:vAlign w:val="center"/>
          </w:tcPr>
          <w:p w14:paraId="1D550598">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6784BB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tcBorders>
              <w:top w:val="double" w:color="auto" w:sz="6" w:space="0"/>
              <w:bottom w:val="single" w:color="auto" w:sz="6" w:space="0"/>
            </w:tcBorders>
            <w:noWrap w:val="0"/>
            <w:vAlign w:val="center"/>
          </w:tcPr>
          <w:p w14:paraId="7EB4359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96" w:type="pct"/>
            <w:tcBorders>
              <w:top w:val="double" w:color="auto" w:sz="6" w:space="0"/>
              <w:bottom w:val="single" w:color="auto" w:sz="6" w:space="0"/>
            </w:tcBorders>
            <w:noWrap w:val="0"/>
            <w:vAlign w:val="center"/>
          </w:tcPr>
          <w:p w14:paraId="061A0D2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62" w:type="pct"/>
            <w:tcBorders>
              <w:top w:val="double" w:color="auto" w:sz="6" w:space="0"/>
              <w:bottom w:val="single" w:color="auto" w:sz="6" w:space="0"/>
            </w:tcBorders>
            <w:noWrap w:val="0"/>
            <w:vAlign w:val="center"/>
          </w:tcPr>
          <w:p w14:paraId="625046B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9" w:type="pct"/>
            <w:tcBorders>
              <w:top w:val="double" w:color="auto" w:sz="6" w:space="0"/>
              <w:bottom w:val="single" w:color="auto" w:sz="6" w:space="0"/>
            </w:tcBorders>
            <w:noWrap w:val="0"/>
            <w:vAlign w:val="center"/>
          </w:tcPr>
          <w:p w14:paraId="58CE4C3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tcBorders>
              <w:top w:val="double" w:color="auto" w:sz="6" w:space="0"/>
              <w:bottom w:val="single" w:color="auto" w:sz="6" w:space="0"/>
            </w:tcBorders>
            <w:noWrap w:val="0"/>
            <w:vAlign w:val="center"/>
          </w:tcPr>
          <w:p w14:paraId="3B22E26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87" w:type="pct"/>
            <w:tcBorders>
              <w:top w:val="double" w:color="auto" w:sz="6" w:space="0"/>
              <w:bottom w:val="single" w:color="auto" w:sz="6" w:space="0"/>
            </w:tcBorders>
            <w:noWrap w:val="0"/>
            <w:vAlign w:val="center"/>
          </w:tcPr>
          <w:p w14:paraId="1C833A5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tcBorders>
              <w:top w:val="double" w:color="auto" w:sz="6" w:space="0"/>
              <w:bottom w:val="single" w:color="auto" w:sz="6" w:space="0"/>
            </w:tcBorders>
            <w:noWrap w:val="0"/>
            <w:vAlign w:val="center"/>
          </w:tcPr>
          <w:p w14:paraId="1CB205A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tcBorders>
              <w:top w:val="double" w:color="auto" w:sz="6" w:space="0"/>
              <w:bottom w:val="single" w:color="auto" w:sz="6" w:space="0"/>
            </w:tcBorders>
            <w:noWrap w:val="0"/>
            <w:vAlign w:val="center"/>
          </w:tcPr>
          <w:p w14:paraId="4946510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94" w:type="pct"/>
            <w:tcBorders>
              <w:top w:val="double" w:color="auto" w:sz="6" w:space="0"/>
              <w:bottom w:val="single" w:color="auto" w:sz="6" w:space="0"/>
            </w:tcBorders>
            <w:noWrap w:val="0"/>
            <w:vAlign w:val="center"/>
          </w:tcPr>
          <w:p w14:paraId="280B9F5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tcBorders>
              <w:top w:val="double" w:color="auto" w:sz="6" w:space="0"/>
              <w:bottom w:val="single" w:color="auto" w:sz="6" w:space="0"/>
            </w:tcBorders>
            <w:noWrap w:val="0"/>
            <w:vAlign w:val="center"/>
          </w:tcPr>
          <w:p w14:paraId="6F1F8777">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193E4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tcBorders>
              <w:top w:val="nil"/>
            </w:tcBorders>
            <w:noWrap w:val="0"/>
            <w:vAlign w:val="center"/>
          </w:tcPr>
          <w:p w14:paraId="39844FA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96" w:type="pct"/>
            <w:tcBorders>
              <w:top w:val="nil"/>
            </w:tcBorders>
            <w:noWrap w:val="0"/>
            <w:vAlign w:val="center"/>
          </w:tcPr>
          <w:p w14:paraId="063ED36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62" w:type="pct"/>
            <w:tcBorders>
              <w:top w:val="nil"/>
            </w:tcBorders>
            <w:noWrap w:val="0"/>
            <w:vAlign w:val="center"/>
          </w:tcPr>
          <w:p w14:paraId="084973A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9" w:type="pct"/>
            <w:tcBorders>
              <w:top w:val="nil"/>
            </w:tcBorders>
            <w:noWrap w:val="0"/>
            <w:vAlign w:val="center"/>
          </w:tcPr>
          <w:p w14:paraId="2A7E19D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tcBorders>
              <w:top w:val="nil"/>
            </w:tcBorders>
            <w:noWrap w:val="0"/>
            <w:vAlign w:val="center"/>
          </w:tcPr>
          <w:p w14:paraId="2F1DC40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87" w:type="pct"/>
            <w:tcBorders>
              <w:top w:val="nil"/>
            </w:tcBorders>
            <w:noWrap w:val="0"/>
            <w:vAlign w:val="center"/>
          </w:tcPr>
          <w:p w14:paraId="65D7734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tcBorders>
              <w:top w:val="nil"/>
            </w:tcBorders>
            <w:noWrap w:val="0"/>
            <w:vAlign w:val="center"/>
          </w:tcPr>
          <w:p w14:paraId="3677B28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tcBorders>
              <w:top w:val="nil"/>
            </w:tcBorders>
            <w:noWrap w:val="0"/>
            <w:vAlign w:val="center"/>
          </w:tcPr>
          <w:p w14:paraId="2F52DB8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94" w:type="pct"/>
            <w:tcBorders>
              <w:top w:val="nil"/>
            </w:tcBorders>
            <w:noWrap w:val="0"/>
            <w:vAlign w:val="center"/>
          </w:tcPr>
          <w:p w14:paraId="4A20112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tcBorders>
              <w:top w:val="nil"/>
            </w:tcBorders>
            <w:noWrap w:val="0"/>
            <w:vAlign w:val="center"/>
          </w:tcPr>
          <w:p w14:paraId="6B4D8E8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E1C8D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47ABC0E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96" w:type="pct"/>
            <w:noWrap w:val="0"/>
            <w:vAlign w:val="center"/>
          </w:tcPr>
          <w:p w14:paraId="02E9087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62" w:type="pct"/>
            <w:noWrap w:val="0"/>
            <w:vAlign w:val="center"/>
          </w:tcPr>
          <w:p w14:paraId="16C09B5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9" w:type="pct"/>
            <w:noWrap w:val="0"/>
            <w:vAlign w:val="center"/>
          </w:tcPr>
          <w:p w14:paraId="2B2B735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75C05D5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87" w:type="pct"/>
            <w:noWrap w:val="0"/>
            <w:vAlign w:val="center"/>
          </w:tcPr>
          <w:p w14:paraId="4422D0E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6B63F92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5E26C34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94" w:type="pct"/>
            <w:noWrap w:val="0"/>
            <w:vAlign w:val="center"/>
          </w:tcPr>
          <w:p w14:paraId="2AC4380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055D5B70">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0D15A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24D7676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96" w:type="pct"/>
            <w:noWrap w:val="0"/>
            <w:vAlign w:val="center"/>
          </w:tcPr>
          <w:p w14:paraId="14CBED0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62" w:type="pct"/>
            <w:noWrap w:val="0"/>
            <w:vAlign w:val="center"/>
          </w:tcPr>
          <w:p w14:paraId="0643DEE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9" w:type="pct"/>
            <w:noWrap w:val="0"/>
            <w:vAlign w:val="center"/>
          </w:tcPr>
          <w:p w14:paraId="082E17C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5FBA6D2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87" w:type="pct"/>
            <w:noWrap w:val="0"/>
            <w:vAlign w:val="center"/>
          </w:tcPr>
          <w:p w14:paraId="73FDD6E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2B4EBB4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1290EB3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94" w:type="pct"/>
            <w:noWrap w:val="0"/>
            <w:vAlign w:val="center"/>
          </w:tcPr>
          <w:p w14:paraId="6015A7E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175638D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30E8B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485C2ED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96" w:type="pct"/>
            <w:noWrap w:val="0"/>
            <w:vAlign w:val="center"/>
          </w:tcPr>
          <w:p w14:paraId="56878A6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62" w:type="pct"/>
            <w:noWrap w:val="0"/>
            <w:vAlign w:val="center"/>
          </w:tcPr>
          <w:p w14:paraId="15F1F46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9" w:type="pct"/>
            <w:noWrap w:val="0"/>
            <w:vAlign w:val="center"/>
          </w:tcPr>
          <w:p w14:paraId="2E09321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115FC13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87" w:type="pct"/>
            <w:noWrap w:val="0"/>
            <w:vAlign w:val="center"/>
          </w:tcPr>
          <w:p w14:paraId="663BAB9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1F08DA5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519F8B2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94" w:type="pct"/>
            <w:noWrap w:val="0"/>
            <w:vAlign w:val="center"/>
          </w:tcPr>
          <w:p w14:paraId="58A3CA0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07B8318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72780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460AFAE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96" w:type="pct"/>
            <w:noWrap w:val="0"/>
            <w:vAlign w:val="center"/>
          </w:tcPr>
          <w:p w14:paraId="41A9899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62" w:type="pct"/>
            <w:noWrap w:val="0"/>
            <w:vAlign w:val="center"/>
          </w:tcPr>
          <w:p w14:paraId="5A13069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9" w:type="pct"/>
            <w:noWrap w:val="0"/>
            <w:vAlign w:val="center"/>
          </w:tcPr>
          <w:p w14:paraId="41ACADE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359AD0B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87" w:type="pct"/>
            <w:noWrap w:val="0"/>
            <w:vAlign w:val="center"/>
          </w:tcPr>
          <w:p w14:paraId="5205074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47E97BB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58F8234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94" w:type="pct"/>
            <w:noWrap w:val="0"/>
            <w:vAlign w:val="center"/>
          </w:tcPr>
          <w:p w14:paraId="5B26371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00E27BF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5F0FD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752C631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96" w:type="pct"/>
            <w:noWrap w:val="0"/>
            <w:vAlign w:val="center"/>
          </w:tcPr>
          <w:p w14:paraId="471CBD6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62" w:type="pct"/>
            <w:noWrap w:val="0"/>
            <w:vAlign w:val="center"/>
          </w:tcPr>
          <w:p w14:paraId="5745AC9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9" w:type="pct"/>
            <w:noWrap w:val="0"/>
            <w:vAlign w:val="center"/>
          </w:tcPr>
          <w:p w14:paraId="08C6CF2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2354333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87" w:type="pct"/>
            <w:noWrap w:val="0"/>
            <w:vAlign w:val="center"/>
          </w:tcPr>
          <w:p w14:paraId="5690AFF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45E307B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1B004CB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94" w:type="pct"/>
            <w:noWrap w:val="0"/>
            <w:vAlign w:val="center"/>
          </w:tcPr>
          <w:p w14:paraId="20FEAE6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07A1CF04">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F28A0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7E9A57B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96" w:type="pct"/>
            <w:noWrap w:val="0"/>
            <w:vAlign w:val="center"/>
          </w:tcPr>
          <w:p w14:paraId="751A06A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62" w:type="pct"/>
            <w:noWrap w:val="0"/>
            <w:vAlign w:val="center"/>
          </w:tcPr>
          <w:p w14:paraId="06DAA7F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9" w:type="pct"/>
            <w:noWrap w:val="0"/>
            <w:vAlign w:val="center"/>
          </w:tcPr>
          <w:p w14:paraId="65A133B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5D168D9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87" w:type="pct"/>
            <w:noWrap w:val="0"/>
            <w:vAlign w:val="center"/>
          </w:tcPr>
          <w:p w14:paraId="5F6DAAA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6C647F5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46C37D6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94" w:type="pct"/>
            <w:noWrap w:val="0"/>
            <w:vAlign w:val="center"/>
          </w:tcPr>
          <w:p w14:paraId="7F1E3E3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23EFE1B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7435D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62D88B29">
            <w:pPr>
              <w:spacing w:line="360" w:lineRule="auto"/>
              <w:jc w:val="center"/>
              <w:rPr>
                <w:rFonts w:hint="eastAsia" w:ascii="宋体" w:hAnsi="宋体" w:eastAsia="宋体" w:cs="宋体"/>
                <w:color w:val="000000"/>
                <w:sz w:val="24"/>
                <w:szCs w:val="24"/>
              </w:rPr>
            </w:pPr>
          </w:p>
        </w:tc>
        <w:tc>
          <w:tcPr>
            <w:tcW w:w="596" w:type="pct"/>
            <w:noWrap w:val="0"/>
            <w:vAlign w:val="center"/>
          </w:tcPr>
          <w:p w14:paraId="6DBB709C">
            <w:pPr>
              <w:spacing w:line="360" w:lineRule="auto"/>
              <w:jc w:val="center"/>
              <w:rPr>
                <w:rFonts w:hint="eastAsia" w:ascii="宋体" w:hAnsi="宋体" w:eastAsia="宋体" w:cs="宋体"/>
                <w:color w:val="000000"/>
                <w:sz w:val="24"/>
                <w:szCs w:val="24"/>
              </w:rPr>
            </w:pPr>
          </w:p>
        </w:tc>
        <w:tc>
          <w:tcPr>
            <w:tcW w:w="662" w:type="pct"/>
            <w:noWrap w:val="0"/>
            <w:vAlign w:val="center"/>
          </w:tcPr>
          <w:p w14:paraId="085A4B75">
            <w:pPr>
              <w:spacing w:line="360" w:lineRule="auto"/>
              <w:jc w:val="center"/>
              <w:rPr>
                <w:rFonts w:hint="eastAsia" w:ascii="宋体" w:hAnsi="宋体" w:eastAsia="宋体" w:cs="宋体"/>
                <w:color w:val="000000"/>
                <w:sz w:val="24"/>
                <w:szCs w:val="24"/>
              </w:rPr>
            </w:pPr>
          </w:p>
        </w:tc>
        <w:tc>
          <w:tcPr>
            <w:tcW w:w="439" w:type="pct"/>
            <w:noWrap w:val="0"/>
            <w:vAlign w:val="center"/>
          </w:tcPr>
          <w:p w14:paraId="1E4422D5">
            <w:pPr>
              <w:spacing w:line="360" w:lineRule="auto"/>
              <w:jc w:val="center"/>
              <w:rPr>
                <w:rFonts w:hint="eastAsia" w:ascii="宋体" w:hAnsi="宋体" w:eastAsia="宋体" w:cs="宋体"/>
                <w:color w:val="000000"/>
                <w:sz w:val="24"/>
                <w:szCs w:val="24"/>
              </w:rPr>
            </w:pPr>
          </w:p>
        </w:tc>
        <w:tc>
          <w:tcPr>
            <w:tcW w:w="397" w:type="pct"/>
            <w:noWrap w:val="0"/>
            <w:vAlign w:val="center"/>
          </w:tcPr>
          <w:p w14:paraId="2864161D">
            <w:pPr>
              <w:spacing w:line="360" w:lineRule="auto"/>
              <w:jc w:val="center"/>
              <w:rPr>
                <w:rFonts w:hint="eastAsia" w:ascii="宋体" w:hAnsi="宋体" w:eastAsia="宋体" w:cs="宋体"/>
                <w:color w:val="000000"/>
                <w:sz w:val="24"/>
                <w:szCs w:val="24"/>
              </w:rPr>
            </w:pPr>
          </w:p>
        </w:tc>
        <w:tc>
          <w:tcPr>
            <w:tcW w:w="487" w:type="pct"/>
            <w:noWrap w:val="0"/>
            <w:vAlign w:val="center"/>
          </w:tcPr>
          <w:p w14:paraId="16B3990B">
            <w:pPr>
              <w:spacing w:line="360" w:lineRule="auto"/>
              <w:jc w:val="center"/>
              <w:rPr>
                <w:rFonts w:hint="eastAsia" w:ascii="宋体" w:hAnsi="宋体" w:eastAsia="宋体" w:cs="宋体"/>
                <w:color w:val="000000"/>
                <w:sz w:val="24"/>
                <w:szCs w:val="24"/>
              </w:rPr>
            </w:pPr>
          </w:p>
        </w:tc>
        <w:tc>
          <w:tcPr>
            <w:tcW w:w="463" w:type="pct"/>
            <w:noWrap w:val="0"/>
            <w:vAlign w:val="center"/>
          </w:tcPr>
          <w:p w14:paraId="254020F0">
            <w:pPr>
              <w:spacing w:line="360" w:lineRule="auto"/>
              <w:jc w:val="center"/>
              <w:rPr>
                <w:rFonts w:hint="eastAsia" w:ascii="宋体" w:hAnsi="宋体" w:eastAsia="宋体" w:cs="宋体"/>
                <w:color w:val="000000"/>
                <w:sz w:val="24"/>
                <w:szCs w:val="24"/>
              </w:rPr>
            </w:pPr>
          </w:p>
        </w:tc>
        <w:tc>
          <w:tcPr>
            <w:tcW w:w="397" w:type="pct"/>
            <w:noWrap w:val="0"/>
            <w:vAlign w:val="center"/>
          </w:tcPr>
          <w:p w14:paraId="5A3A58C5">
            <w:pPr>
              <w:spacing w:line="360" w:lineRule="auto"/>
              <w:jc w:val="center"/>
              <w:rPr>
                <w:rFonts w:hint="eastAsia" w:ascii="宋体" w:hAnsi="宋体" w:eastAsia="宋体" w:cs="宋体"/>
                <w:color w:val="000000"/>
                <w:sz w:val="24"/>
                <w:szCs w:val="24"/>
              </w:rPr>
            </w:pPr>
          </w:p>
        </w:tc>
        <w:tc>
          <w:tcPr>
            <w:tcW w:w="694" w:type="pct"/>
            <w:noWrap w:val="0"/>
            <w:vAlign w:val="center"/>
          </w:tcPr>
          <w:p w14:paraId="259E37EF">
            <w:pPr>
              <w:spacing w:line="360" w:lineRule="auto"/>
              <w:jc w:val="center"/>
              <w:rPr>
                <w:rFonts w:hint="eastAsia" w:ascii="宋体" w:hAnsi="宋体" w:eastAsia="宋体" w:cs="宋体"/>
                <w:color w:val="000000"/>
                <w:sz w:val="24"/>
                <w:szCs w:val="24"/>
              </w:rPr>
            </w:pPr>
          </w:p>
        </w:tc>
        <w:tc>
          <w:tcPr>
            <w:tcW w:w="463" w:type="pct"/>
            <w:noWrap w:val="0"/>
            <w:vAlign w:val="center"/>
          </w:tcPr>
          <w:p w14:paraId="7E88AD07">
            <w:pPr>
              <w:spacing w:line="360" w:lineRule="auto"/>
              <w:jc w:val="center"/>
              <w:rPr>
                <w:rFonts w:hint="eastAsia" w:ascii="宋体" w:hAnsi="宋体" w:eastAsia="宋体" w:cs="宋体"/>
                <w:color w:val="000000"/>
                <w:sz w:val="24"/>
                <w:szCs w:val="24"/>
              </w:rPr>
            </w:pPr>
          </w:p>
        </w:tc>
      </w:tr>
      <w:tr w14:paraId="30E2E2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0CAE416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96" w:type="pct"/>
            <w:noWrap w:val="0"/>
            <w:vAlign w:val="center"/>
          </w:tcPr>
          <w:p w14:paraId="2174A63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62" w:type="pct"/>
            <w:noWrap w:val="0"/>
            <w:vAlign w:val="center"/>
          </w:tcPr>
          <w:p w14:paraId="73940FB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9" w:type="pct"/>
            <w:noWrap w:val="0"/>
            <w:vAlign w:val="center"/>
          </w:tcPr>
          <w:p w14:paraId="1BBFCE7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1E4F3D9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87" w:type="pct"/>
            <w:noWrap w:val="0"/>
            <w:vAlign w:val="center"/>
          </w:tcPr>
          <w:p w14:paraId="65B5AB2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56FC2AF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38322A3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94" w:type="pct"/>
            <w:noWrap w:val="0"/>
            <w:vAlign w:val="center"/>
          </w:tcPr>
          <w:p w14:paraId="555E833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21EF3EDA">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C800A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131AC526">
            <w:pPr>
              <w:spacing w:line="360" w:lineRule="auto"/>
              <w:jc w:val="center"/>
              <w:rPr>
                <w:rFonts w:hint="eastAsia" w:ascii="宋体" w:hAnsi="宋体" w:eastAsia="宋体" w:cs="宋体"/>
                <w:color w:val="000000"/>
                <w:sz w:val="24"/>
                <w:szCs w:val="24"/>
              </w:rPr>
            </w:pPr>
          </w:p>
        </w:tc>
        <w:tc>
          <w:tcPr>
            <w:tcW w:w="596" w:type="pct"/>
            <w:noWrap w:val="0"/>
            <w:vAlign w:val="center"/>
          </w:tcPr>
          <w:p w14:paraId="51B86C3B">
            <w:pPr>
              <w:spacing w:line="360" w:lineRule="auto"/>
              <w:jc w:val="center"/>
              <w:rPr>
                <w:rFonts w:hint="eastAsia" w:ascii="宋体" w:hAnsi="宋体" w:eastAsia="宋体" w:cs="宋体"/>
                <w:color w:val="000000"/>
                <w:sz w:val="24"/>
                <w:szCs w:val="24"/>
              </w:rPr>
            </w:pPr>
          </w:p>
        </w:tc>
        <w:tc>
          <w:tcPr>
            <w:tcW w:w="662" w:type="pct"/>
            <w:noWrap w:val="0"/>
            <w:vAlign w:val="center"/>
          </w:tcPr>
          <w:p w14:paraId="4588CA66">
            <w:pPr>
              <w:spacing w:line="360" w:lineRule="auto"/>
              <w:jc w:val="center"/>
              <w:rPr>
                <w:rFonts w:hint="eastAsia" w:ascii="宋体" w:hAnsi="宋体" w:eastAsia="宋体" w:cs="宋体"/>
                <w:color w:val="000000"/>
                <w:sz w:val="24"/>
                <w:szCs w:val="24"/>
              </w:rPr>
            </w:pPr>
          </w:p>
        </w:tc>
        <w:tc>
          <w:tcPr>
            <w:tcW w:w="439" w:type="pct"/>
            <w:noWrap w:val="0"/>
            <w:vAlign w:val="center"/>
          </w:tcPr>
          <w:p w14:paraId="255372AB">
            <w:pPr>
              <w:spacing w:line="360" w:lineRule="auto"/>
              <w:jc w:val="center"/>
              <w:rPr>
                <w:rFonts w:hint="eastAsia" w:ascii="宋体" w:hAnsi="宋体" w:eastAsia="宋体" w:cs="宋体"/>
                <w:color w:val="000000"/>
                <w:sz w:val="24"/>
                <w:szCs w:val="24"/>
              </w:rPr>
            </w:pPr>
          </w:p>
        </w:tc>
        <w:tc>
          <w:tcPr>
            <w:tcW w:w="397" w:type="pct"/>
            <w:noWrap w:val="0"/>
            <w:vAlign w:val="center"/>
          </w:tcPr>
          <w:p w14:paraId="3DAED740">
            <w:pPr>
              <w:spacing w:line="360" w:lineRule="auto"/>
              <w:jc w:val="center"/>
              <w:rPr>
                <w:rFonts w:hint="eastAsia" w:ascii="宋体" w:hAnsi="宋体" w:eastAsia="宋体" w:cs="宋体"/>
                <w:color w:val="000000"/>
                <w:sz w:val="24"/>
                <w:szCs w:val="24"/>
              </w:rPr>
            </w:pPr>
          </w:p>
        </w:tc>
        <w:tc>
          <w:tcPr>
            <w:tcW w:w="487" w:type="pct"/>
            <w:noWrap w:val="0"/>
            <w:vAlign w:val="center"/>
          </w:tcPr>
          <w:p w14:paraId="354E8E10">
            <w:pPr>
              <w:spacing w:line="360" w:lineRule="auto"/>
              <w:jc w:val="center"/>
              <w:rPr>
                <w:rFonts w:hint="eastAsia" w:ascii="宋体" w:hAnsi="宋体" w:eastAsia="宋体" w:cs="宋体"/>
                <w:color w:val="000000"/>
                <w:sz w:val="24"/>
                <w:szCs w:val="24"/>
              </w:rPr>
            </w:pPr>
          </w:p>
        </w:tc>
        <w:tc>
          <w:tcPr>
            <w:tcW w:w="463" w:type="pct"/>
            <w:noWrap w:val="0"/>
            <w:vAlign w:val="center"/>
          </w:tcPr>
          <w:p w14:paraId="5A9E40F1">
            <w:pPr>
              <w:spacing w:line="360" w:lineRule="auto"/>
              <w:jc w:val="center"/>
              <w:rPr>
                <w:rFonts w:hint="eastAsia" w:ascii="宋体" w:hAnsi="宋体" w:eastAsia="宋体" w:cs="宋体"/>
                <w:color w:val="000000"/>
                <w:sz w:val="24"/>
                <w:szCs w:val="24"/>
              </w:rPr>
            </w:pPr>
          </w:p>
        </w:tc>
        <w:tc>
          <w:tcPr>
            <w:tcW w:w="397" w:type="pct"/>
            <w:noWrap w:val="0"/>
            <w:vAlign w:val="center"/>
          </w:tcPr>
          <w:p w14:paraId="39761BAE">
            <w:pPr>
              <w:spacing w:line="360" w:lineRule="auto"/>
              <w:jc w:val="center"/>
              <w:rPr>
                <w:rFonts w:hint="eastAsia" w:ascii="宋体" w:hAnsi="宋体" w:eastAsia="宋体" w:cs="宋体"/>
                <w:color w:val="000000"/>
                <w:sz w:val="24"/>
                <w:szCs w:val="24"/>
              </w:rPr>
            </w:pPr>
          </w:p>
        </w:tc>
        <w:tc>
          <w:tcPr>
            <w:tcW w:w="694" w:type="pct"/>
            <w:noWrap w:val="0"/>
            <w:vAlign w:val="center"/>
          </w:tcPr>
          <w:p w14:paraId="62BD8E3B">
            <w:pPr>
              <w:spacing w:line="360" w:lineRule="auto"/>
              <w:jc w:val="center"/>
              <w:rPr>
                <w:rFonts w:hint="eastAsia" w:ascii="宋体" w:hAnsi="宋体" w:eastAsia="宋体" w:cs="宋体"/>
                <w:color w:val="000000"/>
                <w:sz w:val="24"/>
                <w:szCs w:val="24"/>
              </w:rPr>
            </w:pPr>
          </w:p>
        </w:tc>
        <w:tc>
          <w:tcPr>
            <w:tcW w:w="463" w:type="pct"/>
            <w:noWrap w:val="0"/>
            <w:vAlign w:val="center"/>
          </w:tcPr>
          <w:p w14:paraId="0FBDA5F8">
            <w:pPr>
              <w:spacing w:line="360" w:lineRule="auto"/>
              <w:jc w:val="center"/>
              <w:rPr>
                <w:rFonts w:hint="eastAsia" w:ascii="宋体" w:hAnsi="宋体" w:eastAsia="宋体" w:cs="宋体"/>
                <w:color w:val="000000"/>
                <w:sz w:val="24"/>
                <w:szCs w:val="24"/>
              </w:rPr>
            </w:pPr>
          </w:p>
        </w:tc>
      </w:tr>
      <w:tr w14:paraId="11383B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7AC6414C">
            <w:pPr>
              <w:spacing w:line="360" w:lineRule="auto"/>
              <w:jc w:val="center"/>
              <w:rPr>
                <w:rFonts w:hint="eastAsia" w:ascii="宋体" w:hAnsi="宋体" w:eastAsia="宋体" w:cs="宋体"/>
                <w:color w:val="000000"/>
                <w:sz w:val="24"/>
                <w:szCs w:val="24"/>
              </w:rPr>
            </w:pPr>
          </w:p>
        </w:tc>
        <w:tc>
          <w:tcPr>
            <w:tcW w:w="596" w:type="pct"/>
            <w:noWrap w:val="0"/>
            <w:vAlign w:val="center"/>
          </w:tcPr>
          <w:p w14:paraId="41228C38">
            <w:pPr>
              <w:spacing w:line="360" w:lineRule="auto"/>
              <w:jc w:val="center"/>
              <w:rPr>
                <w:rFonts w:hint="eastAsia" w:ascii="宋体" w:hAnsi="宋体" w:eastAsia="宋体" w:cs="宋体"/>
                <w:color w:val="000000"/>
                <w:sz w:val="24"/>
                <w:szCs w:val="24"/>
              </w:rPr>
            </w:pPr>
          </w:p>
        </w:tc>
        <w:tc>
          <w:tcPr>
            <w:tcW w:w="662" w:type="pct"/>
            <w:noWrap w:val="0"/>
            <w:vAlign w:val="center"/>
          </w:tcPr>
          <w:p w14:paraId="39A2E36B">
            <w:pPr>
              <w:spacing w:line="360" w:lineRule="auto"/>
              <w:jc w:val="center"/>
              <w:rPr>
                <w:rFonts w:hint="eastAsia" w:ascii="宋体" w:hAnsi="宋体" w:eastAsia="宋体" w:cs="宋体"/>
                <w:color w:val="000000"/>
                <w:sz w:val="24"/>
                <w:szCs w:val="24"/>
              </w:rPr>
            </w:pPr>
          </w:p>
        </w:tc>
        <w:tc>
          <w:tcPr>
            <w:tcW w:w="439" w:type="pct"/>
            <w:noWrap w:val="0"/>
            <w:vAlign w:val="center"/>
          </w:tcPr>
          <w:p w14:paraId="3E421C05">
            <w:pPr>
              <w:spacing w:line="360" w:lineRule="auto"/>
              <w:jc w:val="center"/>
              <w:rPr>
                <w:rFonts w:hint="eastAsia" w:ascii="宋体" w:hAnsi="宋体" w:eastAsia="宋体" w:cs="宋体"/>
                <w:color w:val="000000"/>
                <w:sz w:val="24"/>
                <w:szCs w:val="24"/>
              </w:rPr>
            </w:pPr>
          </w:p>
        </w:tc>
        <w:tc>
          <w:tcPr>
            <w:tcW w:w="397" w:type="pct"/>
            <w:noWrap w:val="0"/>
            <w:vAlign w:val="center"/>
          </w:tcPr>
          <w:p w14:paraId="615BBCCA">
            <w:pPr>
              <w:spacing w:line="360" w:lineRule="auto"/>
              <w:jc w:val="center"/>
              <w:rPr>
                <w:rFonts w:hint="eastAsia" w:ascii="宋体" w:hAnsi="宋体" w:eastAsia="宋体" w:cs="宋体"/>
                <w:color w:val="000000"/>
                <w:sz w:val="24"/>
                <w:szCs w:val="24"/>
              </w:rPr>
            </w:pPr>
          </w:p>
        </w:tc>
        <w:tc>
          <w:tcPr>
            <w:tcW w:w="487" w:type="pct"/>
            <w:noWrap w:val="0"/>
            <w:vAlign w:val="center"/>
          </w:tcPr>
          <w:p w14:paraId="0964E774">
            <w:pPr>
              <w:spacing w:line="360" w:lineRule="auto"/>
              <w:jc w:val="center"/>
              <w:rPr>
                <w:rFonts w:hint="eastAsia" w:ascii="宋体" w:hAnsi="宋体" w:eastAsia="宋体" w:cs="宋体"/>
                <w:color w:val="000000"/>
                <w:sz w:val="24"/>
                <w:szCs w:val="24"/>
              </w:rPr>
            </w:pPr>
          </w:p>
        </w:tc>
        <w:tc>
          <w:tcPr>
            <w:tcW w:w="463" w:type="pct"/>
            <w:noWrap w:val="0"/>
            <w:vAlign w:val="center"/>
          </w:tcPr>
          <w:p w14:paraId="192DD206">
            <w:pPr>
              <w:spacing w:line="360" w:lineRule="auto"/>
              <w:jc w:val="center"/>
              <w:rPr>
                <w:rFonts w:hint="eastAsia" w:ascii="宋体" w:hAnsi="宋体" w:eastAsia="宋体" w:cs="宋体"/>
                <w:color w:val="000000"/>
                <w:sz w:val="24"/>
                <w:szCs w:val="24"/>
              </w:rPr>
            </w:pPr>
          </w:p>
        </w:tc>
        <w:tc>
          <w:tcPr>
            <w:tcW w:w="397" w:type="pct"/>
            <w:noWrap w:val="0"/>
            <w:vAlign w:val="center"/>
          </w:tcPr>
          <w:p w14:paraId="4F18272A">
            <w:pPr>
              <w:spacing w:line="360" w:lineRule="auto"/>
              <w:jc w:val="center"/>
              <w:rPr>
                <w:rFonts w:hint="eastAsia" w:ascii="宋体" w:hAnsi="宋体" w:eastAsia="宋体" w:cs="宋体"/>
                <w:color w:val="000000"/>
                <w:sz w:val="24"/>
                <w:szCs w:val="24"/>
              </w:rPr>
            </w:pPr>
          </w:p>
        </w:tc>
        <w:tc>
          <w:tcPr>
            <w:tcW w:w="694" w:type="pct"/>
            <w:noWrap w:val="0"/>
            <w:vAlign w:val="center"/>
          </w:tcPr>
          <w:p w14:paraId="15570242">
            <w:pPr>
              <w:spacing w:line="360" w:lineRule="auto"/>
              <w:jc w:val="center"/>
              <w:rPr>
                <w:rFonts w:hint="eastAsia" w:ascii="宋体" w:hAnsi="宋体" w:eastAsia="宋体" w:cs="宋体"/>
                <w:color w:val="000000"/>
                <w:sz w:val="24"/>
                <w:szCs w:val="24"/>
              </w:rPr>
            </w:pPr>
          </w:p>
        </w:tc>
        <w:tc>
          <w:tcPr>
            <w:tcW w:w="463" w:type="pct"/>
            <w:noWrap w:val="0"/>
            <w:vAlign w:val="center"/>
          </w:tcPr>
          <w:p w14:paraId="49FDFBB9">
            <w:pPr>
              <w:spacing w:line="360" w:lineRule="auto"/>
              <w:jc w:val="center"/>
              <w:rPr>
                <w:rFonts w:hint="eastAsia" w:ascii="宋体" w:hAnsi="宋体" w:eastAsia="宋体" w:cs="宋体"/>
                <w:color w:val="000000"/>
                <w:sz w:val="24"/>
                <w:szCs w:val="24"/>
              </w:rPr>
            </w:pPr>
          </w:p>
        </w:tc>
      </w:tr>
      <w:tr w14:paraId="1FE51D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368FF4BE">
            <w:pPr>
              <w:spacing w:line="360" w:lineRule="auto"/>
              <w:jc w:val="center"/>
              <w:rPr>
                <w:rFonts w:hint="eastAsia" w:ascii="宋体" w:hAnsi="宋体" w:eastAsia="宋体" w:cs="宋体"/>
                <w:color w:val="000000"/>
                <w:sz w:val="24"/>
                <w:szCs w:val="24"/>
              </w:rPr>
            </w:pPr>
          </w:p>
        </w:tc>
        <w:tc>
          <w:tcPr>
            <w:tcW w:w="596" w:type="pct"/>
            <w:noWrap w:val="0"/>
            <w:vAlign w:val="center"/>
          </w:tcPr>
          <w:p w14:paraId="230049FB">
            <w:pPr>
              <w:spacing w:line="360" w:lineRule="auto"/>
              <w:jc w:val="center"/>
              <w:rPr>
                <w:rFonts w:hint="eastAsia" w:ascii="宋体" w:hAnsi="宋体" w:eastAsia="宋体" w:cs="宋体"/>
                <w:color w:val="000000"/>
                <w:sz w:val="24"/>
                <w:szCs w:val="24"/>
              </w:rPr>
            </w:pPr>
          </w:p>
        </w:tc>
        <w:tc>
          <w:tcPr>
            <w:tcW w:w="662" w:type="pct"/>
            <w:noWrap w:val="0"/>
            <w:vAlign w:val="center"/>
          </w:tcPr>
          <w:p w14:paraId="14110529">
            <w:pPr>
              <w:spacing w:line="360" w:lineRule="auto"/>
              <w:jc w:val="center"/>
              <w:rPr>
                <w:rFonts w:hint="eastAsia" w:ascii="宋体" w:hAnsi="宋体" w:eastAsia="宋体" w:cs="宋体"/>
                <w:color w:val="000000"/>
                <w:sz w:val="24"/>
                <w:szCs w:val="24"/>
              </w:rPr>
            </w:pPr>
          </w:p>
        </w:tc>
        <w:tc>
          <w:tcPr>
            <w:tcW w:w="439" w:type="pct"/>
            <w:noWrap w:val="0"/>
            <w:vAlign w:val="center"/>
          </w:tcPr>
          <w:p w14:paraId="2462F995">
            <w:pPr>
              <w:spacing w:line="360" w:lineRule="auto"/>
              <w:jc w:val="center"/>
              <w:rPr>
                <w:rFonts w:hint="eastAsia" w:ascii="宋体" w:hAnsi="宋体" w:eastAsia="宋体" w:cs="宋体"/>
                <w:color w:val="000000"/>
                <w:sz w:val="24"/>
                <w:szCs w:val="24"/>
              </w:rPr>
            </w:pPr>
          </w:p>
        </w:tc>
        <w:tc>
          <w:tcPr>
            <w:tcW w:w="397" w:type="pct"/>
            <w:noWrap w:val="0"/>
            <w:vAlign w:val="center"/>
          </w:tcPr>
          <w:p w14:paraId="0E24E4F8">
            <w:pPr>
              <w:spacing w:line="360" w:lineRule="auto"/>
              <w:jc w:val="center"/>
              <w:rPr>
                <w:rFonts w:hint="eastAsia" w:ascii="宋体" w:hAnsi="宋体" w:eastAsia="宋体" w:cs="宋体"/>
                <w:color w:val="000000"/>
                <w:sz w:val="24"/>
                <w:szCs w:val="24"/>
              </w:rPr>
            </w:pPr>
          </w:p>
        </w:tc>
        <w:tc>
          <w:tcPr>
            <w:tcW w:w="487" w:type="pct"/>
            <w:noWrap w:val="0"/>
            <w:vAlign w:val="center"/>
          </w:tcPr>
          <w:p w14:paraId="43211EA5">
            <w:pPr>
              <w:spacing w:line="360" w:lineRule="auto"/>
              <w:jc w:val="center"/>
              <w:rPr>
                <w:rFonts w:hint="eastAsia" w:ascii="宋体" w:hAnsi="宋体" w:eastAsia="宋体" w:cs="宋体"/>
                <w:color w:val="000000"/>
                <w:sz w:val="24"/>
                <w:szCs w:val="24"/>
              </w:rPr>
            </w:pPr>
          </w:p>
        </w:tc>
        <w:tc>
          <w:tcPr>
            <w:tcW w:w="463" w:type="pct"/>
            <w:noWrap w:val="0"/>
            <w:vAlign w:val="center"/>
          </w:tcPr>
          <w:p w14:paraId="3B7E241E">
            <w:pPr>
              <w:spacing w:line="360" w:lineRule="auto"/>
              <w:jc w:val="center"/>
              <w:rPr>
                <w:rFonts w:hint="eastAsia" w:ascii="宋体" w:hAnsi="宋体" w:eastAsia="宋体" w:cs="宋体"/>
                <w:color w:val="000000"/>
                <w:sz w:val="24"/>
                <w:szCs w:val="24"/>
              </w:rPr>
            </w:pPr>
          </w:p>
        </w:tc>
        <w:tc>
          <w:tcPr>
            <w:tcW w:w="397" w:type="pct"/>
            <w:noWrap w:val="0"/>
            <w:vAlign w:val="center"/>
          </w:tcPr>
          <w:p w14:paraId="5B148E9D">
            <w:pPr>
              <w:spacing w:line="360" w:lineRule="auto"/>
              <w:jc w:val="center"/>
              <w:rPr>
                <w:rFonts w:hint="eastAsia" w:ascii="宋体" w:hAnsi="宋体" w:eastAsia="宋体" w:cs="宋体"/>
                <w:color w:val="000000"/>
                <w:sz w:val="24"/>
                <w:szCs w:val="24"/>
              </w:rPr>
            </w:pPr>
          </w:p>
        </w:tc>
        <w:tc>
          <w:tcPr>
            <w:tcW w:w="694" w:type="pct"/>
            <w:noWrap w:val="0"/>
            <w:vAlign w:val="center"/>
          </w:tcPr>
          <w:p w14:paraId="45A890C8">
            <w:pPr>
              <w:spacing w:line="360" w:lineRule="auto"/>
              <w:jc w:val="center"/>
              <w:rPr>
                <w:rFonts w:hint="eastAsia" w:ascii="宋体" w:hAnsi="宋体" w:eastAsia="宋体" w:cs="宋体"/>
                <w:color w:val="000000"/>
                <w:sz w:val="24"/>
                <w:szCs w:val="24"/>
              </w:rPr>
            </w:pPr>
          </w:p>
        </w:tc>
        <w:tc>
          <w:tcPr>
            <w:tcW w:w="463" w:type="pct"/>
            <w:noWrap w:val="0"/>
            <w:vAlign w:val="center"/>
          </w:tcPr>
          <w:p w14:paraId="1C2175CE">
            <w:pPr>
              <w:spacing w:line="360" w:lineRule="auto"/>
              <w:jc w:val="center"/>
              <w:rPr>
                <w:rFonts w:hint="eastAsia" w:ascii="宋体" w:hAnsi="宋体" w:eastAsia="宋体" w:cs="宋体"/>
                <w:color w:val="000000"/>
                <w:sz w:val="24"/>
                <w:szCs w:val="24"/>
              </w:rPr>
            </w:pPr>
          </w:p>
        </w:tc>
      </w:tr>
      <w:tr w14:paraId="46B4E4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672BF54A">
            <w:pPr>
              <w:spacing w:line="360" w:lineRule="auto"/>
              <w:jc w:val="center"/>
              <w:rPr>
                <w:rFonts w:hint="eastAsia" w:ascii="宋体" w:hAnsi="宋体" w:eastAsia="宋体" w:cs="宋体"/>
                <w:color w:val="000000"/>
                <w:sz w:val="24"/>
                <w:szCs w:val="24"/>
              </w:rPr>
            </w:pPr>
          </w:p>
        </w:tc>
        <w:tc>
          <w:tcPr>
            <w:tcW w:w="596" w:type="pct"/>
            <w:noWrap w:val="0"/>
            <w:vAlign w:val="center"/>
          </w:tcPr>
          <w:p w14:paraId="048C6BA3">
            <w:pPr>
              <w:spacing w:line="360" w:lineRule="auto"/>
              <w:jc w:val="center"/>
              <w:rPr>
                <w:rFonts w:hint="eastAsia" w:ascii="宋体" w:hAnsi="宋体" w:eastAsia="宋体" w:cs="宋体"/>
                <w:color w:val="000000"/>
                <w:sz w:val="24"/>
                <w:szCs w:val="24"/>
              </w:rPr>
            </w:pPr>
          </w:p>
        </w:tc>
        <w:tc>
          <w:tcPr>
            <w:tcW w:w="662" w:type="pct"/>
            <w:noWrap w:val="0"/>
            <w:vAlign w:val="center"/>
          </w:tcPr>
          <w:p w14:paraId="4722BA15">
            <w:pPr>
              <w:spacing w:line="360" w:lineRule="auto"/>
              <w:jc w:val="center"/>
              <w:rPr>
                <w:rFonts w:hint="eastAsia" w:ascii="宋体" w:hAnsi="宋体" w:eastAsia="宋体" w:cs="宋体"/>
                <w:color w:val="000000"/>
                <w:sz w:val="24"/>
                <w:szCs w:val="24"/>
              </w:rPr>
            </w:pPr>
          </w:p>
        </w:tc>
        <w:tc>
          <w:tcPr>
            <w:tcW w:w="439" w:type="pct"/>
            <w:noWrap w:val="0"/>
            <w:vAlign w:val="center"/>
          </w:tcPr>
          <w:p w14:paraId="5909562D">
            <w:pPr>
              <w:spacing w:line="360" w:lineRule="auto"/>
              <w:jc w:val="center"/>
              <w:rPr>
                <w:rFonts w:hint="eastAsia" w:ascii="宋体" w:hAnsi="宋体" w:eastAsia="宋体" w:cs="宋体"/>
                <w:color w:val="000000"/>
                <w:sz w:val="24"/>
                <w:szCs w:val="24"/>
              </w:rPr>
            </w:pPr>
          </w:p>
        </w:tc>
        <w:tc>
          <w:tcPr>
            <w:tcW w:w="397" w:type="pct"/>
            <w:noWrap w:val="0"/>
            <w:vAlign w:val="center"/>
          </w:tcPr>
          <w:p w14:paraId="19797E45">
            <w:pPr>
              <w:spacing w:line="360" w:lineRule="auto"/>
              <w:jc w:val="center"/>
              <w:rPr>
                <w:rFonts w:hint="eastAsia" w:ascii="宋体" w:hAnsi="宋体" w:eastAsia="宋体" w:cs="宋体"/>
                <w:color w:val="000000"/>
                <w:sz w:val="24"/>
                <w:szCs w:val="24"/>
              </w:rPr>
            </w:pPr>
          </w:p>
        </w:tc>
        <w:tc>
          <w:tcPr>
            <w:tcW w:w="487" w:type="pct"/>
            <w:noWrap w:val="0"/>
            <w:vAlign w:val="center"/>
          </w:tcPr>
          <w:p w14:paraId="6CC3583C">
            <w:pPr>
              <w:spacing w:line="360" w:lineRule="auto"/>
              <w:jc w:val="center"/>
              <w:rPr>
                <w:rFonts w:hint="eastAsia" w:ascii="宋体" w:hAnsi="宋体" w:eastAsia="宋体" w:cs="宋体"/>
                <w:color w:val="000000"/>
                <w:sz w:val="24"/>
                <w:szCs w:val="24"/>
              </w:rPr>
            </w:pPr>
          </w:p>
        </w:tc>
        <w:tc>
          <w:tcPr>
            <w:tcW w:w="463" w:type="pct"/>
            <w:noWrap w:val="0"/>
            <w:vAlign w:val="center"/>
          </w:tcPr>
          <w:p w14:paraId="055C04A6">
            <w:pPr>
              <w:spacing w:line="360" w:lineRule="auto"/>
              <w:jc w:val="center"/>
              <w:rPr>
                <w:rFonts w:hint="eastAsia" w:ascii="宋体" w:hAnsi="宋体" w:eastAsia="宋体" w:cs="宋体"/>
                <w:color w:val="000000"/>
                <w:sz w:val="24"/>
                <w:szCs w:val="24"/>
              </w:rPr>
            </w:pPr>
          </w:p>
        </w:tc>
        <w:tc>
          <w:tcPr>
            <w:tcW w:w="397" w:type="pct"/>
            <w:noWrap w:val="0"/>
            <w:vAlign w:val="center"/>
          </w:tcPr>
          <w:p w14:paraId="63E944D9">
            <w:pPr>
              <w:spacing w:line="360" w:lineRule="auto"/>
              <w:jc w:val="center"/>
              <w:rPr>
                <w:rFonts w:hint="eastAsia" w:ascii="宋体" w:hAnsi="宋体" w:eastAsia="宋体" w:cs="宋体"/>
                <w:color w:val="000000"/>
                <w:sz w:val="24"/>
                <w:szCs w:val="24"/>
              </w:rPr>
            </w:pPr>
          </w:p>
        </w:tc>
        <w:tc>
          <w:tcPr>
            <w:tcW w:w="694" w:type="pct"/>
            <w:noWrap w:val="0"/>
            <w:vAlign w:val="center"/>
          </w:tcPr>
          <w:p w14:paraId="70C20806">
            <w:pPr>
              <w:spacing w:line="360" w:lineRule="auto"/>
              <w:jc w:val="center"/>
              <w:rPr>
                <w:rFonts w:hint="eastAsia" w:ascii="宋体" w:hAnsi="宋体" w:eastAsia="宋体" w:cs="宋体"/>
                <w:color w:val="000000"/>
                <w:sz w:val="24"/>
                <w:szCs w:val="24"/>
              </w:rPr>
            </w:pPr>
          </w:p>
        </w:tc>
        <w:tc>
          <w:tcPr>
            <w:tcW w:w="463" w:type="pct"/>
            <w:noWrap w:val="0"/>
            <w:vAlign w:val="center"/>
          </w:tcPr>
          <w:p w14:paraId="61197260">
            <w:pPr>
              <w:spacing w:line="360" w:lineRule="auto"/>
              <w:jc w:val="center"/>
              <w:rPr>
                <w:rFonts w:hint="eastAsia" w:ascii="宋体" w:hAnsi="宋体" w:eastAsia="宋体" w:cs="宋体"/>
                <w:color w:val="000000"/>
                <w:sz w:val="24"/>
                <w:szCs w:val="24"/>
              </w:rPr>
            </w:pPr>
          </w:p>
        </w:tc>
      </w:tr>
      <w:tr w14:paraId="3304B0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78468767">
            <w:pPr>
              <w:spacing w:line="360" w:lineRule="auto"/>
              <w:jc w:val="center"/>
              <w:rPr>
                <w:rFonts w:hint="eastAsia" w:ascii="宋体" w:hAnsi="宋体" w:eastAsia="宋体" w:cs="宋体"/>
                <w:color w:val="000000"/>
                <w:sz w:val="24"/>
                <w:szCs w:val="24"/>
              </w:rPr>
            </w:pPr>
          </w:p>
        </w:tc>
        <w:tc>
          <w:tcPr>
            <w:tcW w:w="596" w:type="pct"/>
            <w:noWrap w:val="0"/>
            <w:vAlign w:val="center"/>
          </w:tcPr>
          <w:p w14:paraId="1DF6EF81">
            <w:pPr>
              <w:spacing w:line="360" w:lineRule="auto"/>
              <w:jc w:val="center"/>
              <w:rPr>
                <w:rFonts w:hint="eastAsia" w:ascii="宋体" w:hAnsi="宋体" w:eastAsia="宋体" w:cs="宋体"/>
                <w:color w:val="000000"/>
                <w:sz w:val="24"/>
                <w:szCs w:val="24"/>
              </w:rPr>
            </w:pPr>
          </w:p>
        </w:tc>
        <w:tc>
          <w:tcPr>
            <w:tcW w:w="662" w:type="pct"/>
            <w:noWrap w:val="0"/>
            <w:vAlign w:val="center"/>
          </w:tcPr>
          <w:p w14:paraId="52AC13BE">
            <w:pPr>
              <w:spacing w:line="360" w:lineRule="auto"/>
              <w:jc w:val="center"/>
              <w:rPr>
                <w:rFonts w:hint="eastAsia" w:ascii="宋体" w:hAnsi="宋体" w:eastAsia="宋体" w:cs="宋体"/>
                <w:color w:val="000000"/>
                <w:sz w:val="24"/>
                <w:szCs w:val="24"/>
              </w:rPr>
            </w:pPr>
          </w:p>
        </w:tc>
        <w:tc>
          <w:tcPr>
            <w:tcW w:w="439" w:type="pct"/>
            <w:noWrap w:val="0"/>
            <w:vAlign w:val="center"/>
          </w:tcPr>
          <w:p w14:paraId="09A17FD1">
            <w:pPr>
              <w:spacing w:line="360" w:lineRule="auto"/>
              <w:jc w:val="center"/>
              <w:rPr>
                <w:rFonts w:hint="eastAsia" w:ascii="宋体" w:hAnsi="宋体" w:eastAsia="宋体" w:cs="宋体"/>
                <w:color w:val="000000"/>
                <w:sz w:val="24"/>
                <w:szCs w:val="24"/>
              </w:rPr>
            </w:pPr>
          </w:p>
        </w:tc>
        <w:tc>
          <w:tcPr>
            <w:tcW w:w="397" w:type="pct"/>
            <w:noWrap w:val="0"/>
            <w:vAlign w:val="center"/>
          </w:tcPr>
          <w:p w14:paraId="744F13D1">
            <w:pPr>
              <w:spacing w:line="360" w:lineRule="auto"/>
              <w:jc w:val="center"/>
              <w:rPr>
                <w:rFonts w:hint="eastAsia" w:ascii="宋体" w:hAnsi="宋体" w:eastAsia="宋体" w:cs="宋体"/>
                <w:color w:val="000000"/>
                <w:sz w:val="24"/>
                <w:szCs w:val="24"/>
              </w:rPr>
            </w:pPr>
          </w:p>
        </w:tc>
        <w:tc>
          <w:tcPr>
            <w:tcW w:w="487" w:type="pct"/>
            <w:noWrap w:val="0"/>
            <w:vAlign w:val="center"/>
          </w:tcPr>
          <w:p w14:paraId="087A7995">
            <w:pPr>
              <w:spacing w:line="360" w:lineRule="auto"/>
              <w:jc w:val="center"/>
              <w:rPr>
                <w:rFonts w:hint="eastAsia" w:ascii="宋体" w:hAnsi="宋体" w:eastAsia="宋体" w:cs="宋体"/>
                <w:color w:val="000000"/>
                <w:sz w:val="24"/>
                <w:szCs w:val="24"/>
              </w:rPr>
            </w:pPr>
          </w:p>
        </w:tc>
        <w:tc>
          <w:tcPr>
            <w:tcW w:w="463" w:type="pct"/>
            <w:noWrap w:val="0"/>
            <w:vAlign w:val="center"/>
          </w:tcPr>
          <w:p w14:paraId="46ACC0C4">
            <w:pPr>
              <w:spacing w:line="360" w:lineRule="auto"/>
              <w:jc w:val="center"/>
              <w:rPr>
                <w:rFonts w:hint="eastAsia" w:ascii="宋体" w:hAnsi="宋体" w:eastAsia="宋体" w:cs="宋体"/>
                <w:color w:val="000000"/>
                <w:sz w:val="24"/>
                <w:szCs w:val="24"/>
              </w:rPr>
            </w:pPr>
          </w:p>
        </w:tc>
        <w:tc>
          <w:tcPr>
            <w:tcW w:w="397" w:type="pct"/>
            <w:noWrap w:val="0"/>
            <w:vAlign w:val="center"/>
          </w:tcPr>
          <w:p w14:paraId="5B140582">
            <w:pPr>
              <w:spacing w:line="360" w:lineRule="auto"/>
              <w:jc w:val="center"/>
              <w:rPr>
                <w:rFonts w:hint="eastAsia" w:ascii="宋体" w:hAnsi="宋体" w:eastAsia="宋体" w:cs="宋体"/>
                <w:color w:val="000000"/>
                <w:sz w:val="24"/>
                <w:szCs w:val="24"/>
              </w:rPr>
            </w:pPr>
          </w:p>
        </w:tc>
        <w:tc>
          <w:tcPr>
            <w:tcW w:w="694" w:type="pct"/>
            <w:noWrap w:val="0"/>
            <w:vAlign w:val="center"/>
          </w:tcPr>
          <w:p w14:paraId="59033056">
            <w:pPr>
              <w:spacing w:line="360" w:lineRule="auto"/>
              <w:jc w:val="center"/>
              <w:rPr>
                <w:rFonts w:hint="eastAsia" w:ascii="宋体" w:hAnsi="宋体" w:eastAsia="宋体" w:cs="宋体"/>
                <w:color w:val="000000"/>
                <w:sz w:val="24"/>
                <w:szCs w:val="24"/>
              </w:rPr>
            </w:pPr>
          </w:p>
        </w:tc>
        <w:tc>
          <w:tcPr>
            <w:tcW w:w="463" w:type="pct"/>
            <w:noWrap w:val="0"/>
            <w:vAlign w:val="center"/>
          </w:tcPr>
          <w:p w14:paraId="593BCF9E">
            <w:pPr>
              <w:spacing w:line="360" w:lineRule="auto"/>
              <w:jc w:val="center"/>
              <w:rPr>
                <w:rFonts w:hint="eastAsia" w:ascii="宋体" w:hAnsi="宋体" w:eastAsia="宋体" w:cs="宋体"/>
                <w:color w:val="000000"/>
                <w:sz w:val="24"/>
                <w:szCs w:val="24"/>
              </w:rPr>
            </w:pPr>
          </w:p>
        </w:tc>
      </w:tr>
      <w:tr w14:paraId="3A8F03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0A1EC5CF">
            <w:pPr>
              <w:spacing w:line="360" w:lineRule="auto"/>
              <w:jc w:val="center"/>
              <w:rPr>
                <w:rFonts w:hint="eastAsia" w:ascii="宋体" w:hAnsi="宋体" w:eastAsia="宋体" w:cs="宋体"/>
                <w:color w:val="000000"/>
                <w:sz w:val="24"/>
                <w:szCs w:val="24"/>
              </w:rPr>
            </w:pPr>
          </w:p>
        </w:tc>
        <w:tc>
          <w:tcPr>
            <w:tcW w:w="596" w:type="pct"/>
            <w:noWrap w:val="0"/>
            <w:vAlign w:val="center"/>
          </w:tcPr>
          <w:p w14:paraId="0E9765FC">
            <w:pPr>
              <w:spacing w:line="360" w:lineRule="auto"/>
              <w:jc w:val="center"/>
              <w:rPr>
                <w:rFonts w:hint="eastAsia" w:ascii="宋体" w:hAnsi="宋体" w:eastAsia="宋体" w:cs="宋体"/>
                <w:color w:val="000000"/>
                <w:sz w:val="24"/>
                <w:szCs w:val="24"/>
              </w:rPr>
            </w:pPr>
          </w:p>
        </w:tc>
        <w:tc>
          <w:tcPr>
            <w:tcW w:w="662" w:type="pct"/>
            <w:noWrap w:val="0"/>
            <w:vAlign w:val="center"/>
          </w:tcPr>
          <w:p w14:paraId="5D8340B5">
            <w:pPr>
              <w:spacing w:line="360" w:lineRule="auto"/>
              <w:jc w:val="center"/>
              <w:rPr>
                <w:rFonts w:hint="eastAsia" w:ascii="宋体" w:hAnsi="宋体" w:eastAsia="宋体" w:cs="宋体"/>
                <w:color w:val="000000"/>
                <w:sz w:val="24"/>
                <w:szCs w:val="24"/>
              </w:rPr>
            </w:pPr>
          </w:p>
        </w:tc>
        <w:tc>
          <w:tcPr>
            <w:tcW w:w="439" w:type="pct"/>
            <w:noWrap w:val="0"/>
            <w:vAlign w:val="center"/>
          </w:tcPr>
          <w:p w14:paraId="7FBEA470">
            <w:pPr>
              <w:spacing w:line="360" w:lineRule="auto"/>
              <w:jc w:val="center"/>
              <w:rPr>
                <w:rFonts w:hint="eastAsia" w:ascii="宋体" w:hAnsi="宋体" w:eastAsia="宋体" w:cs="宋体"/>
                <w:color w:val="000000"/>
                <w:sz w:val="24"/>
                <w:szCs w:val="24"/>
              </w:rPr>
            </w:pPr>
          </w:p>
        </w:tc>
        <w:tc>
          <w:tcPr>
            <w:tcW w:w="397" w:type="pct"/>
            <w:noWrap w:val="0"/>
            <w:vAlign w:val="center"/>
          </w:tcPr>
          <w:p w14:paraId="58306613">
            <w:pPr>
              <w:spacing w:line="360" w:lineRule="auto"/>
              <w:jc w:val="center"/>
              <w:rPr>
                <w:rFonts w:hint="eastAsia" w:ascii="宋体" w:hAnsi="宋体" w:eastAsia="宋体" w:cs="宋体"/>
                <w:color w:val="000000"/>
                <w:sz w:val="24"/>
                <w:szCs w:val="24"/>
              </w:rPr>
            </w:pPr>
          </w:p>
        </w:tc>
        <w:tc>
          <w:tcPr>
            <w:tcW w:w="487" w:type="pct"/>
            <w:noWrap w:val="0"/>
            <w:vAlign w:val="center"/>
          </w:tcPr>
          <w:p w14:paraId="2008ED07">
            <w:pPr>
              <w:spacing w:line="360" w:lineRule="auto"/>
              <w:jc w:val="center"/>
              <w:rPr>
                <w:rFonts w:hint="eastAsia" w:ascii="宋体" w:hAnsi="宋体" w:eastAsia="宋体" w:cs="宋体"/>
                <w:color w:val="000000"/>
                <w:sz w:val="24"/>
                <w:szCs w:val="24"/>
              </w:rPr>
            </w:pPr>
          </w:p>
        </w:tc>
        <w:tc>
          <w:tcPr>
            <w:tcW w:w="463" w:type="pct"/>
            <w:noWrap w:val="0"/>
            <w:vAlign w:val="center"/>
          </w:tcPr>
          <w:p w14:paraId="3C442595">
            <w:pPr>
              <w:spacing w:line="360" w:lineRule="auto"/>
              <w:jc w:val="center"/>
              <w:rPr>
                <w:rFonts w:hint="eastAsia" w:ascii="宋体" w:hAnsi="宋体" w:eastAsia="宋体" w:cs="宋体"/>
                <w:color w:val="000000"/>
                <w:sz w:val="24"/>
                <w:szCs w:val="24"/>
              </w:rPr>
            </w:pPr>
          </w:p>
        </w:tc>
        <w:tc>
          <w:tcPr>
            <w:tcW w:w="397" w:type="pct"/>
            <w:noWrap w:val="0"/>
            <w:vAlign w:val="center"/>
          </w:tcPr>
          <w:p w14:paraId="302E7C83">
            <w:pPr>
              <w:spacing w:line="360" w:lineRule="auto"/>
              <w:jc w:val="center"/>
              <w:rPr>
                <w:rFonts w:hint="eastAsia" w:ascii="宋体" w:hAnsi="宋体" w:eastAsia="宋体" w:cs="宋体"/>
                <w:color w:val="000000"/>
                <w:sz w:val="24"/>
                <w:szCs w:val="24"/>
              </w:rPr>
            </w:pPr>
          </w:p>
        </w:tc>
        <w:tc>
          <w:tcPr>
            <w:tcW w:w="694" w:type="pct"/>
            <w:noWrap w:val="0"/>
            <w:vAlign w:val="center"/>
          </w:tcPr>
          <w:p w14:paraId="00DC5FCA">
            <w:pPr>
              <w:spacing w:line="360" w:lineRule="auto"/>
              <w:jc w:val="center"/>
              <w:rPr>
                <w:rFonts w:hint="eastAsia" w:ascii="宋体" w:hAnsi="宋体" w:eastAsia="宋体" w:cs="宋体"/>
                <w:color w:val="000000"/>
                <w:sz w:val="24"/>
                <w:szCs w:val="24"/>
              </w:rPr>
            </w:pPr>
          </w:p>
        </w:tc>
        <w:tc>
          <w:tcPr>
            <w:tcW w:w="463" w:type="pct"/>
            <w:noWrap w:val="0"/>
            <w:vAlign w:val="center"/>
          </w:tcPr>
          <w:p w14:paraId="4AC92D26">
            <w:pPr>
              <w:spacing w:line="360" w:lineRule="auto"/>
              <w:jc w:val="center"/>
              <w:rPr>
                <w:rFonts w:hint="eastAsia" w:ascii="宋体" w:hAnsi="宋体" w:eastAsia="宋体" w:cs="宋体"/>
                <w:color w:val="000000"/>
                <w:sz w:val="24"/>
                <w:szCs w:val="24"/>
              </w:rPr>
            </w:pPr>
          </w:p>
        </w:tc>
      </w:tr>
      <w:tr w14:paraId="590A07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24816B58">
            <w:pPr>
              <w:spacing w:line="360" w:lineRule="auto"/>
              <w:jc w:val="center"/>
              <w:rPr>
                <w:rFonts w:hint="eastAsia" w:ascii="宋体" w:hAnsi="宋体" w:eastAsia="宋体" w:cs="宋体"/>
                <w:color w:val="000000"/>
                <w:sz w:val="24"/>
                <w:szCs w:val="24"/>
              </w:rPr>
            </w:pPr>
          </w:p>
        </w:tc>
        <w:tc>
          <w:tcPr>
            <w:tcW w:w="596" w:type="pct"/>
            <w:noWrap w:val="0"/>
            <w:vAlign w:val="center"/>
          </w:tcPr>
          <w:p w14:paraId="1E2D9117">
            <w:pPr>
              <w:spacing w:line="360" w:lineRule="auto"/>
              <w:jc w:val="center"/>
              <w:rPr>
                <w:rFonts w:hint="eastAsia" w:ascii="宋体" w:hAnsi="宋体" w:eastAsia="宋体" w:cs="宋体"/>
                <w:color w:val="000000"/>
                <w:sz w:val="24"/>
                <w:szCs w:val="24"/>
              </w:rPr>
            </w:pPr>
          </w:p>
        </w:tc>
        <w:tc>
          <w:tcPr>
            <w:tcW w:w="662" w:type="pct"/>
            <w:noWrap w:val="0"/>
            <w:vAlign w:val="center"/>
          </w:tcPr>
          <w:p w14:paraId="6394E7C9">
            <w:pPr>
              <w:spacing w:line="360" w:lineRule="auto"/>
              <w:jc w:val="center"/>
              <w:rPr>
                <w:rFonts w:hint="eastAsia" w:ascii="宋体" w:hAnsi="宋体" w:eastAsia="宋体" w:cs="宋体"/>
                <w:color w:val="000000"/>
                <w:sz w:val="24"/>
                <w:szCs w:val="24"/>
              </w:rPr>
            </w:pPr>
          </w:p>
        </w:tc>
        <w:tc>
          <w:tcPr>
            <w:tcW w:w="439" w:type="pct"/>
            <w:noWrap w:val="0"/>
            <w:vAlign w:val="center"/>
          </w:tcPr>
          <w:p w14:paraId="2F515617">
            <w:pPr>
              <w:spacing w:line="360" w:lineRule="auto"/>
              <w:jc w:val="center"/>
              <w:rPr>
                <w:rFonts w:hint="eastAsia" w:ascii="宋体" w:hAnsi="宋体" w:eastAsia="宋体" w:cs="宋体"/>
                <w:color w:val="000000"/>
                <w:sz w:val="24"/>
                <w:szCs w:val="24"/>
              </w:rPr>
            </w:pPr>
          </w:p>
        </w:tc>
        <w:tc>
          <w:tcPr>
            <w:tcW w:w="397" w:type="pct"/>
            <w:noWrap w:val="0"/>
            <w:vAlign w:val="center"/>
          </w:tcPr>
          <w:p w14:paraId="187286FB">
            <w:pPr>
              <w:spacing w:line="360" w:lineRule="auto"/>
              <w:jc w:val="center"/>
              <w:rPr>
                <w:rFonts w:hint="eastAsia" w:ascii="宋体" w:hAnsi="宋体" w:eastAsia="宋体" w:cs="宋体"/>
                <w:color w:val="000000"/>
                <w:sz w:val="24"/>
                <w:szCs w:val="24"/>
              </w:rPr>
            </w:pPr>
          </w:p>
        </w:tc>
        <w:tc>
          <w:tcPr>
            <w:tcW w:w="487" w:type="pct"/>
            <w:noWrap w:val="0"/>
            <w:vAlign w:val="center"/>
          </w:tcPr>
          <w:p w14:paraId="50DFC504">
            <w:pPr>
              <w:spacing w:line="360" w:lineRule="auto"/>
              <w:jc w:val="center"/>
              <w:rPr>
                <w:rFonts w:hint="eastAsia" w:ascii="宋体" w:hAnsi="宋体" w:eastAsia="宋体" w:cs="宋体"/>
                <w:color w:val="000000"/>
                <w:sz w:val="24"/>
                <w:szCs w:val="24"/>
              </w:rPr>
            </w:pPr>
          </w:p>
        </w:tc>
        <w:tc>
          <w:tcPr>
            <w:tcW w:w="463" w:type="pct"/>
            <w:noWrap w:val="0"/>
            <w:vAlign w:val="center"/>
          </w:tcPr>
          <w:p w14:paraId="096F5E13">
            <w:pPr>
              <w:spacing w:line="360" w:lineRule="auto"/>
              <w:jc w:val="center"/>
              <w:rPr>
                <w:rFonts w:hint="eastAsia" w:ascii="宋体" w:hAnsi="宋体" w:eastAsia="宋体" w:cs="宋体"/>
                <w:color w:val="000000"/>
                <w:sz w:val="24"/>
                <w:szCs w:val="24"/>
              </w:rPr>
            </w:pPr>
          </w:p>
        </w:tc>
        <w:tc>
          <w:tcPr>
            <w:tcW w:w="397" w:type="pct"/>
            <w:noWrap w:val="0"/>
            <w:vAlign w:val="center"/>
          </w:tcPr>
          <w:p w14:paraId="08ED9A1D">
            <w:pPr>
              <w:spacing w:line="360" w:lineRule="auto"/>
              <w:jc w:val="center"/>
              <w:rPr>
                <w:rFonts w:hint="eastAsia" w:ascii="宋体" w:hAnsi="宋体" w:eastAsia="宋体" w:cs="宋体"/>
                <w:color w:val="000000"/>
                <w:sz w:val="24"/>
                <w:szCs w:val="24"/>
              </w:rPr>
            </w:pPr>
          </w:p>
        </w:tc>
        <w:tc>
          <w:tcPr>
            <w:tcW w:w="694" w:type="pct"/>
            <w:noWrap w:val="0"/>
            <w:vAlign w:val="center"/>
          </w:tcPr>
          <w:p w14:paraId="4B9EAF84">
            <w:pPr>
              <w:spacing w:line="360" w:lineRule="auto"/>
              <w:jc w:val="center"/>
              <w:rPr>
                <w:rFonts w:hint="eastAsia" w:ascii="宋体" w:hAnsi="宋体" w:eastAsia="宋体" w:cs="宋体"/>
                <w:color w:val="000000"/>
                <w:sz w:val="24"/>
                <w:szCs w:val="24"/>
              </w:rPr>
            </w:pPr>
          </w:p>
        </w:tc>
        <w:tc>
          <w:tcPr>
            <w:tcW w:w="463" w:type="pct"/>
            <w:noWrap w:val="0"/>
            <w:vAlign w:val="center"/>
          </w:tcPr>
          <w:p w14:paraId="26D87F7A">
            <w:pPr>
              <w:spacing w:line="360" w:lineRule="auto"/>
              <w:jc w:val="center"/>
              <w:rPr>
                <w:rFonts w:hint="eastAsia" w:ascii="宋体" w:hAnsi="宋体" w:eastAsia="宋体" w:cs="宋体"/>
                <w:color w:val="000000"/>
                <w:sz w:val="24"/>
                <w:szCs w:val="24"/>
              </w:rPr>
            </w:pPr>
          </w:p>
        </w:tc>
      </w:tr>
      <w:tr w14:paraId="28EFCC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17556FCE">
            <w:pPr>
              <w:spacing w:line="360" w:lineRule="auto"/>
              <w:jc w:val="center"/>
              <w:rPr>
                <w:rFonts w:hint="eastAsia" w:ascii="宋体" w:hAnsi="宋体" w:eastAsia="宋体" w:cs="宋体"/>
                <w:color w:val="000000"/>
                <w:sz w:val="24"/>
                <w:szCs w:val="24"/>
              </w:rPr>
            </w:pPr>
          </w:p>
        </w:tc>
        <w:tc>
          <w:tcPr>
            <w:tcW w:w="596" w:type="pct"/>
            <w:noWrap w:val="0"/>
            <w:vAlign w:val="center"/>
          </w:tcPr>
          <w:p w14:paraId="3CE3DA75">
            <w:pPr>
              <w:spacing w:line="360" w:lineRule="auto"/>
              <w:jc w:val="center"/>
              <w:rPr>
                <w:rFonts w:hint="eastAsia" w:ascii="宋体" w:hAnsi="宋体" w:eastAsia="宋体" w:cs="宋体"/>
                <w:color w:val="000000"/>
                <w:sz w:val="24"/>
                <w:szCs w:val="24"/>
              </w:rPr>
            </w:pPr>
          </w:p>
        </w:tc>
        <w:tc>
          <w:tcPr>
            <w:tcW w:w="662" w:type="pct"/>
            <w:noWrap w:val="0"/>
            <w:vAlign w:val="center"/>
          </w:tcPr>
          <w:p w14:paraId="6C6993AB">
            <w:pPr>
              <w:spacing w:line="360" w:lineRule="auto"/>
              <w:jc w:val="center"/>
              <w:rPr>
                <w:rFonts w:hint="eastAsia" w:ascii="宋体" w:hAnsi="宋体" w:eastAsia="宋体" w:cs="宋体"/>
                <w:color w:val="000000"/>
                <w:sz w:val="24"/>
                <w:szCs w:val="24"/>
              </w:rPr>
            </w:pPr>
          </w:p>
        </w:tc>
        <w:tc>
          <w:tcPr>
            <w:tcW w:w="439" w:type="pct"/>
            <w:noWrap w:val="0"/>
            <w:vAlign w:val="center"/>
          </w:tcPr>
          <w:p w14:paraId="57550B81">
            <w:pPr>
              <w:spacing w:line="360" w:lineRule="auto"/>
              <w:jc w:val="center"/>
              <w:rPr>
                <w:rFonts w:hint="eastAsia" w:ascii="宋体" w:hAnsi="宋体" w:eastAsia="宋体" w:cs="宋体"/>
                <w:color w:val="000000"/>
                <w:sz w:val="24"/>
                <w:szCs w:val="24"/>
              </w:rPr>
            </w:pPr>
          </w:p>
        </w:tc>
        <w:tc>
          <w:tcPr>
            <w:tcW w:w="397" w:type="pct"/>
            <w:noWrap w:val="0"/>
            <w:vAlign w:val="center"/>
          </w:tcPr>
          <w:p w14:paraId="5B80DA2C">
            <w:pPr>
              <w:spacing w:line="360" w:lineRule="auto"/>
              <w:jc w:val="center"/>
              <w:rPr>
                <w:rFonts w:hint="eastAsia" w:ascii="宋体" w:hAnsi="宋体" w:eastAsia="宋体" w:cs="宋体"/>
                <w:color w:val="000000"/>
                <w:sz w:val="24"/>
                <w:szCs w:val="24"/>
              </w:rPr>
            </w:pPr>
          </w:p>
        </w:tc>
        <w:tc>
          <w:tcPr>
            <w:tcW w:w="487" w:type="pct"/>
            <w:noWrap w:val="0"/>
            <w:vAlign w:val="center"/>
          </w:tcPr>
          <w:p w14:paraId="0D1969EC">
            <w:pPr>
              <w:spacing w:line="360" w:lineRule="auto"/>
              <w:jc w:val="center"/>
              <w:rPr>
                <w:rFonts w:hint="eastAsia" w:ascii="宋体" w:hAnsi="宋体" w:eastAsia="宋体" w:cs="宋体"/>
                <w:color w:val="000000"/>
                <w:sz w:val="24"/>
                <w:szCs w:val="24"/>
              </w:rPr>
            </w:pPr>
          </w:p>
        </w:tc>
        <w:tc>
          <w:tcPr>
            <w:tcW w:w="463" w:type="pct"/>
            <w:noWrap w:val="0"/>
            <w:vAlign w:val="center"/>
          </w:tcPr>
          <w:p w14:paraId="661835A6">
            <w:pPr>
              <w:spacing w:line="360" w:lineRule="auto"/>
              <w:jc w:val="center"/>
              <w:rPr>
                <w:rFonts w:hint="eastAsia" w:ascii="宋体" w:hAnsi="宋体" w:eastAsia="宋体" w:cs="宋体"/>
                <w:color w:val="000000"/>
                <w:sz w:val="24"/>
                <w:szCs w:val="24"/>
              </w:rPr>
            </w:pPr>
          </w:p>
        </w:tc>
        <w:tc>
          <w:tcPr>
            <w:tcW w:w="397" w:type="pct"/>
            <w:noWrap w:val="0"/>
            <w:vAlign w:val="center"/>
          </w:tcPr>
          <w:p w14:paraId="7521063B">
            <w:pPr>
              <w:spacing w:line="360" w:lineRule="auto"/>
              <w:jc w:val="center"/>
              <w:rPr>
                <w:rFonts w:hint="eastAsia" w:ascii="宋体" w:hAnsi="宋体" w:eastAsia="宋体" w:cs="宋体"/>
                <w:color w:val="000000"/>
                <w:sz w:val="24"/>
                <w:szCs w:val="24"/>
              </w:rPr>
            </w:pPr>
          </w:p>
        </w:tc>
        <w:tc>
          <w:tcPr>
            <w:tcW w:w="694" w:type="pct"/>
            <w:noWrap w:val="0"/>
            <w:vAlign w:val="center"/>
          </w:tcPr>
          <w:p w14:paraId="13E13CED">
            <w:pPr>
              <w:spacing w:line="360" w:lineRule="auto"/>
              <w:jc w:val="center"/>
              <w:rPr>
                <w:rFonts w:hint="eastAsia" w:ascii="宋体" w:hAnsi="宋体" w:eastAsia="宋体" w:cs="宋体"/>
                <w:color w:val="000000"/>
                <w:sz w:val="24"/>
                <w:szCs w:val="24"/>
              </w:rPr>
            </w:pPr>
          </w:p>
        </w:tc>
        <w:tc>
          <w:tcPr>
            <w:tcW w:w="463" w:type="pct"/>
            <w:noWrap w:val="0"/>
            <w:vAlign w:val="center"/>
          </w:tcPr>
          <w:p w14:paraId="283A61C3">
            <w:pPr>
              <w:spacing w:line="360" w:lineRule="auto"/>
              <w:jc w:val="center"/>
              <w:rPr>
                <w:rFonts w:hint="eastAsia" w:ascii="宋体" w:hAnsi="宋体" w:eastAsia="宋体" w:cs="宋体"/>
                <w:color w:val="000000"/>
                <w:sz w:val="24"/>
                <w:szCs w:val="24"/>
              </w:rPr>
            </w:pPr>
          </w:p>
        </w:tc>
      </w:tr>
    </w:tbl>
    <w:p w14:paraId="1E3A00EF">
      <w:pPr>
        <w:spacing w:line="360" w:lineRule="auto"/>
        <w:rPr>
          <w:rFonts w:hint="eastAsia" w:ascii="宋体" w:hAnsi="宋体" w:eastAsia="宋体" w:cs="宋体"/>
          <w:color w:val="000000"/>
          <w:sz w:val="24"/>
          <w:szCs w:val="24"/>
        </w:rPr>
      </w:pPr>
    </w:p>
    <w:p w14:paraId="3E9EA24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539" w:name="_Toc296891266"/>
      <w:bookmarkStart w:id="540" w:name="_Toc267261693"/>
      <w:bookmarkStart w:id="541" w:name="_Toc296503226"/>
      <w:bookmarkStart w:id="542" w:name="_Toc296347225"/>
      <w:bookmarkStart w:id="543" w:name="_Toc296944565"/>
      <w:bookmarkStart w:id="544" w:name="_Toc296891054"/>
      <w:bookmarkStart w:id="545" w:name="_Toc296346727"/>
      <w:r>
        <w:rPr>
          <w:rFonts w:hint="eastAsia" w:ascii="宋体" w:hAnsi="宋体" w:eastAsia="宋体" w:cs="宋体"/>
          <w:color w:val="000000"/>
          <w:sz w:val="24"/>
          <w:szCs w:val="24"/>
        </w:rPr>
        <w:t>件3：</w:t>
      </w:r>
      <w:bookmarkEnd w:id="539"/>
      <w:bookmarkEnd w:id="540"/>
      <w:bookmarkEnd w:id="541"/>
      <w:bookmarkEnd w:id="542"/>
      <w:bookmarkEnd w:id="543"/>
      <w:bookmarkEnd w:id="544"/>
      <w:bookmarkEnd w:id="545"/>
      <w:r>
        <w:rPr>
          <w:rFonts w:hint="eastAsia" w:ascii="宋体" w:hAnsi="宋体" w:eastAsia="宋体" w:cs="宋体"/>
          <w:color w:val="000000"/>
          <w:sz w:val="24"/>
          <w:szCs w:val="24"/>
        </w:rPr>
        <w:t xml:space="preserve">    </w:t>
      </w:r>
    </w:p>
    <w:p w14:paraId="46F54CFD">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工程质量保修书</w:t>
      </w:r>
    </w:p>
    <w:p w14:paraId="4D6481B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404C068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承包人（全称）：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435F9994">
      <w:pPr>
        <w:spacing w:line="360" w:lineRule="auto"/>
        <w:rPr>
          <w:rFonts w:hint="eastAsia" w:ascii="宋体" w:hAnsi="宋体" w:eastAsia="宋体" w:cs="宋体"/>
          <w:color w:val="000000"/>
          <w:sz w:val="24"/>
          <w:szCs w:val="24"/>
        </w:rPr>
      </w:pPr>
    </w:p>
    <w:p w14:paraId="7BEF212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发包人和承包人根据《中华人民共和国建筑法》和《建设工程质量管理条例》，经协商一致就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（工程全称）签订工程质量保修书。</w:t>
      </w:r>
    </w:p>
    <w:p w14:paraId="5A864BA1">
      <w:pPr>
        <w:bidi w:val="0"/>
        <w:spacing w:line="360" w:lineRule="auto"/>
        <w:rPr>
          <w:rFonts w:hint="eastAsia" w:ascii="宋体" w:hAnsi="宋体" w:eastAsia="宋体" w:cs="宋体"/>
          <w:sz w:val="24"/>
          <w:szCs w:val="24"/>
        </w:rPr>
      </w:pPr>
      <w:r>
        <w:rPr>
          <w:rFonts w:hint="eastAsia" w:ascii="宋体" w:hAnsi="宋体" w:eastAsia="宋体" w:cs="宋体"/>
          <w:sz w:val="24"/>
          <w:szCs w:val="24"/>
        </w:rPr>
        <w:t>一、工程质量保修范围和内容</w:t>
      </w:r>
    </w:p>
    <w:p w14:paraId="717CE626">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承包人在质量保修期内，按照有关法律规定和合同约定，承担工程质量保修责任。</w:t>
      </w:r>
    </w:p>
    <w:p w14:paraId="24E30F9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30676FA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5FD3D5F">
      <w:pPr>
        <w:bidi w:val="0"/>
        <w:spacing w:line="360" w:lineRule="auto"/>
        <w:rPr>
          <w:rFonts w:hint="eastAsia" w:ascii="宋体" w:hAnsi="宋体" w:eastAsia="宋体" w:cs="宋体"/>
          <w:sz w:val="24"/>
          <w:szCs w:val="24"/>
        </w:rPr>
      </w:pPr>
      <w:r>
        <w:rPr>
          <w:rFonts w:hint="eastAsia" w:ascii="宋体" w:hAnsi="宋体" w:eastAsia="宋体" w:cs="宋体"/>
          <w:sz w:val="24"/>
          <w:szCs w:val="24"/>
        </w:rPr>
        <w:t>二、质量保修期</w:t>
      </w:r>
    </w:p>
    <w:p w14:paraId="0DD70CF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根据《建设工程质量管理条例》及有关规定，工程的质量保修期如下：</w:t>
      </w:r>
    </w:p>
    <w:p w14:paraId="56E62C2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color w:val="000000"/>
          <w:sz w:val="24"/>
          <w:szCs w:val="24"/>
        </w:rPr>
        <w:t>．</w:t>
      </w:r>
      <w:r>
        <w:rPr>
          <w:rFonts w:hint="eastAsia" w:ascii="宋体" w:hAnsi="宋体" w:eastAsia="宋体" w:cs="宋体"/>
          <w:sz w:val="24"/>
          <w:szCs w:val="24"/>
        </w:rPr>
        <w:t>地基基础工程和主体结构工程为设计文件规定的工程合理使用年限；</w:t>
      </w:r>
    </w:p>
    <w:p w14:paraId="4D51348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屋面防水工程、有防水要求的卫生间、房间和外墙面的防渗     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54D8BF24">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装修工程为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1D37AAE1">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电气管线、给排水管道、设备安装工程为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527A6444">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sz w:val="24"/>
          <w:szCs w:val="24"/>
        </w:rPr>
        <w:t>．</w:t>
      </w:r>
      <w:r>
        <w:rPr>
          <w:rFonts w:hint="eastAsia" w:ascii="宋体" w:hAnsi="宋体" w:eastAsia="宋体" w:cs="宋体"/>
          <w:color w:val="000000"/>
          <w:sz w:val="24"/>
          <w:szCs w:val="24"/>
        </w:rPr>
        <w:t>供热与供冷系统为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个采暖期、供冷期；</w:t>
      </w:r>
    </w:p>
    <w:p w14:paraId="2AF96799">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6</w:t>
      </w:r>
      <w:r>
        <w:rPr>
          <w:rFonts w:hint="eastAsia" w:ascii="宋体" w:hAnsi="宋体" w:eastAsia="宋体" w:cs="宋体"/>
          <w:sz w:val="24"/>
          <w:szCs w:val="24"/>
        </w:rPr>
        <w:t>．</w:t>
      </w:r>
      <w:r>
        <w:rPr>
          <w:rFonts w:hint="eastAsia" w:ascii="宋体" w:hAnsi="宋体" w:eastAsia="宋体" w:cs="宋体"/>
          <w:color w:val="000000"/>
          <w:sz w:val="24"/>
          <w:szCs w:val="24"/>
        </w:rPr>
        <w:t>住宅小区内的给排水设施、道路等配套工程为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2D3FAC32">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7</w:t>
      </w:r>
      <w:r>
        <w:rPr>
          <w:rFonts w:hint="eastAsia" w:ascii="宋体" w:hAnsi="宋体" w:eastAsia="宋体" w:cs="宋体"/>
          <w:sz w:val="24"/>
          <w:szCs w:val="24"/>
        </w:rPr>
        <w:t>．</w:t>
      </w:r>
      <w:r>
        <w:rPr>
          <w:rFonts w:hint="eastAsia" w:ascii="宋体" w:hAnsi="宋体" w:eastAsia="宋体" w:cs="宋体"/>
          <w:color w:val="000000"/>
          <w:sz w:val="24"/>
          <w:szCs w:val="24"/>
        </w:rPr>
        <w:t>其他项目保修期限约定如下：</w:t>
      </w:r>
    </w:p>
    <w:p w14:paraId="302B088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DE8D99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质量保修期自工程竣工验收合格之日起计算。</w:t>
      </w:r>
    </w:p>
    <w:p w14:paraId="66E65E1C">
      <w:pPr>
        <w:bidi w:val="0"/>
        <w:spacing w:line="360" w:lineRule="auto"/>
        <w:rPr>
          <w:rFonts w:hint="eastAsia" w:ascii="宋体" w:hAnsi="宋体" w:eastAsia="宋体" w:cs="宋体"/>
          <w:sz w:val="24"/>
          <w:szCs w:val="24"/>
        </w:rPr>
      </w:pPr>
      <w:r>
        <w:rPr>
          <w:rFonts w:hint="eastAsia" w:ascii="宋体" w:hAnsi="宋体" w:eastAsia="宋体" w:cs="宋体"/>
          <w:sz w:val="24"/>
          <w:szCs w:val="24"/>
        </w:rPr>
        <w:t>三、缺陷责任期</w:t>
      </w:r>
    </w:p>
    <w:p w14:paraId="62F9B61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工程缺陷责任期为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个月，缺陷责任期自工程通过竣工验收之日起计算。单位工程先于全部工程进行验收，单位工程缺陷责任期自单位工程验收合格之日起算。</w:t>
      </w:r>
    </w:p>
    <w:p w14:paraId="65FD70A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缺陷责任期终止后，发包人应退还剩余的质量保证金。</w:t>
      </w:r>
    </w:p>
    <w:p w14:paraId="268519B4">
      <w:pPr>
        <w:bidi w:val="0"/>
        <w:spacing w:line="360" w:lineRule="auto"/>
        <w:rPr>
          <w:rFonts w:hint="eastAsia" w:ascii="宋体" w:hAnsi="宋体" w:eastAsia="宋体" w:cs="宋体"/>
          <w:sz w:val="24"/>
          <w:szCs w:val="24"/>
        </w:rPr>
      </w:pPr>
      <w:r>
        <w:rPr>
          <w:rFonts w:hint="eastAsia" w:ascii="宋体" w:hAnsi="宋体" w:eastAsia="宋体" w:cs="宋体"/>
          <w:sz w:val="24"/>
          <w:szCs w:val="24"/>
        </w:rPr>
        <w:t>四、质量保修责任</w:t>
      </w:r>
    </w:p>
    <w:p w14:paraId="0FE1177D">
      <w:pPr>
        <w:spacing w:line="360" w:lineRule="auto"/>
        <w:ind w:left="105" w:leftChars="50" w:firstLine="491" w:firstLineChars="205"/>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sz w:val="24"/>
          <w:szCs w:val="24"/>
        </w:rPr>
        <w:t>．</w:t>
      </w:r>
      <w:r>
        <w:rPr>
          <w:rFonts w:hint="eastAsia" w:ascii="宋体" w:hAnsi="宋体" w:eastAsia="宋体" w:cs="宋体"/>
          <w:color w:val="000000"/>
          <w:sz w:val="24"/>
          <w:szCs w:val="24"/>
        </w:rPr>
        <w:t>属于保修范围、内容的项目，承包人应当在接到保修通知之日起7天内派人保修。承包人不在约定期限内派人保修的，发包人可以委托他人修理。</w:t>
      </w:r>
    </w:p>
    <w:p w14:paraId="66F20FE4">
      <w:pPr>
        <w:spacing w:line="360" w:lineRule="auto"/>
        <w:ind w:left="105" w:leftChars="50" w:firstLine="491" w:firstLineChars="205"/>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发生紧急事故需抢修的，承包人在接到事故通知后，应当立即到达事故现场抢修。</w:t>
      </w:r>
    </w:p>
    <w:p w14:paraId="486A870C">
      <w:pPr>
        <w:spacing w:line="360" w:lineRule="auto"/>
        <w:ind w:left="105" w:leftChars="50" w:firstLine="491" w:firstLineChars="205"/>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C4D33C0">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质量保修完成后，由发包人组织验收。</w:t>
      </w:r>
    </w:p>
    <w:p w14:paraId="4FDCA312">
      <w:pPr>
        <w:bidi w:val="0"/>
        <w:spacing w:line="360" w:lineRule="auto"/>
        <w:rPr>
          <w:rFonts w:hint="eastAsia" w:ascii="宋体" w:hAnsi="宋体" w:eastAsia="宋体" w:cs="宋体"/>
          <w:sz w:val="24"/>
          <w:szCs w:val="24"/>
        </w:rPr>
      </w:pPr>
      <w:r>
        <w:rPr>
          <w:rFonts w:hint="eastAsia" w:ascii="宋体" w:hAnsi="宋体" w:eastAsia="宋体" w:cs="宋体"/>
          <w:sz w:val="24"/>
          <w:szCs w:val="24"/>
        </w:rPr>
        <w:t>　　五、保修费用</w:t>
      </w:r>
    </w:p>
    <w:p w14:paraId="5CB017B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保修费用由造成质量缺陷的责任方承担。</w:t>
      </w:r>
    </w:p>
    <w:p w14:paraId="2ADF830D">
      <w:pPr>
        <w:bidi w:val="0"/>
        <w:spacing w:line="360" w:lineRule="auto"/>
        <w:rPr>
          <w:rFonts w:hint="eastAsia" w:ascii="宋体" w:hAnsi="宋体" w:eastAsia="宋体" w:cs="宋体"/>
          <w:sz w:val="24"/>
          <w:szCs w:val="24"/>
          <w:u w:val="single"/>
        </w:rPr>
      </w:pPr>
      <w:r>
        <w:rPr>
          <w:rFonts w:hint="eastAsia" w:ascii="宋体" w:hAnsi="宋体" w:eastAsia="宋体" w:cs="宋体"/>
          <w:sz w:val="24"/>
          <w:szCs w:val="24"/>
        </w:rPr>
        <w:t>六、双方约定的其他工程质量保修事项：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9EC27B3">
      <w:pPr>
        <w:bidi w:val="0"/>
        <w:spacing w:line="360" w:lineRule="auto"/>
        <w:rPr>
          <w:rFonts w:hint="eastAsia" w:ascii="宋体" w:hAnsi="宋体" w:eastAsia="宋体" w:cs="宋体"/>
          <w:color w:val="000000"/>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color w:val="000000"/>
          <w:sz w:val="24"/>
          <w:szCs w:val="24"/>
          <w:u w:val="single"/>
        </w:rPr>
        <w:t>。</w:t>
      </w:r>
    </w:p>
    <w:p w14:paraId="01180784">
      <w:pPr>
        <w:spacing w:line="360" w:lineRule="auto"/>
        <w:ind w:firstLine="456" w:firstLineChars="190"/>
        <w:rPr>
          <w:rFonts w:hint="eastAsia" w:ascii="宋体" w:hAnsi="宋体" w:eastAsia="宋体" w:cs="宋体"/>
          <w:color w:val="000000"/>
          <w:sz w:val="24"/>
          <w:szCs w:val="24"/>
        </w:rPr>
      </w:pPr>
      <w:r>
        <w:rPr>
          <w:rFonts w:hint="eastAsia" w:ascii="宋体" w:hAnsi="宋体" w:eastAsia="宋体" w:cs="宋体"/>
          <w:color w:val="000000"/>
          <w:sz w:val="24"/>
          <w:szCs w:val="24"/>
        </w:rPr>
        <w:t>工程质量保修书由发包人、承包人在工程竣工验收前共同签署，作为施工合同附件，其有效期限至保修期满。</w:t>
      </w:r>
    </w:p>
    <w:p w14:paraId="6ABFB0AA">
      <w:pPr>
        <w:spacing w:line="360" w:lineRule="auto"/>
        <w:ind w:firstLine="420"/>
        <w:rPr>
          <w:rFonts w:hint="eastAsia" w:ascii="宋体" w:hAnsi="宋体" w:eastAsia="宋体" w:cs="宋体"/>
          <w:color w:val="000000"/>
          <w:sz w:val="24"/>
          <w:szCs w:val="24"/>
        </w:rPr>
      </w:pPr>
    </w:p>
    <w:p w14:paraId="5EB7C38B">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发包人(公章)：</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 xml:space="preserve"> 承包人(公章)：</w:t>
      </w:r>
      <w:r>
        <w:rPr>
          <w:rFonts w:hint="eastAsia" w:ascii="宋体" w:hAnsi="宋体" w:eastAsia="宋体" w:cs="宋体"/>
          <w:color w:val="000000"/>
          <w:sz w:val="24"/>
          <w:szCs w:val="24"/>
          <w:u w:val="single"/>
        </w:rPr>
        <w:t xml:space="preserve">           </w:t>
      </w:r>
    </w:p>
    <w:p w14:paraId="522CC89F">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w:t>
      </w:r>
    </w:p>
    <w:p w14:paraId="36A3217C">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法定代表人(签字)：</w:t>
      </w:r>
      <w:r>
        <w:rPr>
          <w:rFonts w:hint="eastAsia" w:ascii="宋体" w:hAnsi="宋体" w:eastAsia="宋体" w:cs="宋体"/>
          <w:color w:val="000000"/>
          <w:sz w:val="24"/>
          <w:szCs w:val="24"/>
          <w:u w:val="single"/>
        </w:rPr>
        <w:t xml:space="preserve">       </w:t>
      </w:r>
    </w:p>
    <w:p w14:paraId="53B9463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委托代理人(签字)：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委托代理人(签字)：</w:t>
      </w:r>
      <w:r>
        <w:rPr>
          <w:rFonts w:hint="eastAsia" w:ascii="宋体" w:hAnsi="宋体" w:eastAsia="宋体" w:cs="宋体"/>
          <w:color w:val="000000"/>
          <w:sz w:val="24"/>
          <w:szCs w:val="24"/>
          <w:u w:val="single"/>
        </w:rPr>
        <w:t xml:space="preserve">       </w:t>
      </w:r>
    </w:p>
    <w:p w14:paraId="5E89428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p>
    <w:p w14:paraId="3A82E25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   </w:t>
      </w:r>
    </w:p>
    <w:p w14:paraId="19808B6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p>
    <w:p w14:paraId="573CFC8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w:t>
      </w:r>
    </w:p>
    <w:p w14:paraId="17BD732F">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w:t>
      </w:r>
    </w:p>
    <w:p w14:paraId="54394334">
      <w:pPr>
        <w:spacing w:line="360" w:lineRule="auto"/>
        <w:rPr>
          <w:rFonts w:hint="eastAsia" w:ascii="宋体" w:hAnsi="宋体" w:eastAsia="宋体" w:cs="宋体"/>
          <w:color w:val="000000"/>
          <w:sz w:val="24"/>
          <w:szCs w:val="24"/>
        </w:rPr>
      </w:pPr>
      <w:r>
        <w:rPr>
          <w:rFonts w:hint="eastAsia" w:ascii="宋体" w:hAnsi="宋体" w:eastAsia="宋体" w:cs="宋体"/>
          <w:b/>
          <w:color w:val="000000"/>
          <w:sz w:val="24"/>
          <w:szCs w:val="24"/>
        </w:rPr>
        <w:br w:type="page"/>
      </w:r>
      <w:r>
        <w:rPr>
          <w:rFonts w:hint="eastAsia" w:ascii="宋体" w:hAnsi="宋体" w:eastAsia="宋体" w:cs="宋体"/>
          <w:color w:val="000000"/>
          <w:sz w:val="24"/>
          <w:szCs w:val="24"/>
        </w:rPr>
        <w:t>附件4：</w:t>
      </w:r>
    </w:p>
    <w:p w14:paraId="3434075D">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主要建设工程文件目录</w:t>
      </w:r>
    </w:p>
    <w:tbl>
      <w:tblPr>
        <w:tblStyle w:val="41"/>
        <w:tblW w:w="4998"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807"/>
        <w:gridCol w:w="1180"/>
        <w:gridCol w:w="1340"/>
        <w:gridCol w:w="1149"/>
        <w:gridCol w:w="1340"/>
        <w:gridCol w:w="1543"/>
      </w:tblGrid>
      <w:tr w14:paraId="2DCC0D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080" w:type="pct"/>
            <w:tcBorders>
              <w:top w:val="single" w:color="auto" w:sz="12" w:space="0"/>
              <w:bottom w:val="double" w:color="auto" w:sz="6" w:space="0"/>
            </w:tcBorders>
            <w:noWrap w:val="0"/>
            <w:vAlign w:val="center"/>
          </w:tcPr>
          <w:p w14:paraId="3B556024">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文件名称</w:t>
            </w:r>
          </w:p>
        </w:tc>
        <w:tc>
          <w:tcPr>
            <w:tcW w:w="705" w:type="pct"/>
            <w:tcBorders>
              <w:top w:val="single" w:color="auto" w:sz="12" w:space="0"/>
              <w:bottom w:val="double" w:color="auto" w:sz="6" w:space="0"/>
            </w:tcBorders>
            <w:noWrap w:val="0"/>
            <w:vAlign w:val="center"/>
          </w:tcPr>
          <w:p w14:paraId="4F648DD5">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套数</w:t>
            </w:r>
          </w:p>
        </w:tc>
        <w:tc>
          <w:tcPr>
            <w:tcW w:w="801" w:type="pct"/>
            <w:tcBorders>
              <w:top w:val="single" w:color="auto" w:sz="12" w:space="0"/>
              <w:bottom w:val="double" w:color="auto" w:sz="6" w:space="0"/>
            </w:tcBorders>
            <w:noWrap w:val="0"/>
            <w:vAlign w:val="center"/>
          </w:tcPr>
          <w:p w14:paraId="2F7CECA7">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费用（元）</w:t>
            </w:r>
          </w:p>
        </w:tc>
        <w:tc>
          <w:tcPr>
            <w:tcW w:w="687" w:type="pct"/>
            <w:tcBorders>
              <w:top w:val="single" w:color="auto" w:sz="12" w:space="0"/>
              <w:bottom w:val="double" w:color="auto" w:sz="6" w:space="0"/>
            </w:tcBorders>
            <w:noWrap w:val="0"/>
            <w:vAlign w:val="center"/>
          </w:tcPr>
          <w:p w14:paraId="401CEB20">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质量</w:t>
            </w:r>
          </w:p>
        </w:tc>
        <w:tc>
          <w:tcPr>
            <w:tcW w:w="801" w:type="pct"/>
            <w:tcBorders>
              <w:top w:val="single" w:color="auto" w:sz="12" w:space="0"/>
              <w:bottom w:val="double" w:color="auto" w:sz="6" w:space="0"/>
            </w:tcBorders>
            <w:noWrap w:val="0"/>
            <w:vAlign w:val="top"/>
          </w:tcPr>
          <w:p w14:paraId="574A898F">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移交时间</w:t>
            </w:r>
          </w:p>
        </w:tc>
        <w:tc>
          <w:tcPr>
            <w:tcW w:w="922" w:type="pct"/>
            <w:tcBorders>
              <w:top w:val="single" w:color="auto" w:sz="12" w:space="0"/>
              <w:bottom w:val="double" w:color="auto" w:sz="6" w:space="0"/>
            </w:tcBorders>
            <w:noWrap w:val="0"/>
            <w:vAlign w:val="top"/>
          </w:tcPr>
          <w:p w14:paraId="7D37771D">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责任人</w:t>
            </w:r>
          </w:p>
        </w:tc>
      </w:tr>
      <w:tr w14:paraId="452885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tcBorders>
              <w:top w:val="double" w:color="auto" w:sz="6" w:space="0"/>
              <w:bottom w:val="single" w:color="auto" w:sz="6" w:space="0"/>
            </w:tcBorders>
            <w:noWrap w:val="0"/>
            <w:vAlign w:val="center"/>
          </w:tcPr>
          <w:p w14:paraId="3CC7FE6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05" w:type="pct"/>
            <w:tcBorders>
              <w:top w:val="double" w:color="auto" w:sz="6" w:space="0"/>
              <w:bottom w:val="single" w:color="auto" w:sz="6" w:space="0"/>
            </w:tcBorders>
            <w:noWrap w:val="0"/>
            <w:vAlign w:val="center"/>
          </w:tcPr>
          <w:p w14:paraId="205188D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tcBorders>
              <w:top w:val="double" w:color="auto" w:sz="6" w:space="0"/>
              <w:bottom w:val="single" w:color="auto" w:sz="6" w:space="0"/>
            </w:tcBorders>
            <w:noWrap w:val="0"/>
            <w:vAlign w:val="center"/>
          </w:tcPr>
          <w:p w14:paraId="0B2C60A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87" w:type="pct"/>
            <w:tcBorders>
              <w:top w:val="double" w:color="auto" w:sz="6" w:space="0"/>
              <w:bottom w:val="single" w:color="auto" w:sz="6" w:space="0"/>
            </w:tcBorders>
            <w:noWrap w:val="0"/>
            <w:vAlign w:val="center"/>
          </w:tcPr>
          <w:p w14:paraId="5CB39E5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tcBorders>
              <w:top w:val="double" w:color="auto" w:sz="6" w:space="0"/>
              <w:bottom w:val="single" w:color="auto" w:sz="6" w:space="0"/>
            </w:tcBorders>
            <w:noWrap w:val="0"/>
            <w:vAlign w:val="center"/>
          </w:tcPr>
          <w:p w14:paraId="5F1083C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22" w:type="pct"/>
            <w:tcBorders>
              <w:top w:val="double" w:color="auto" w:sz="6" w:space="0"/>
              <w:bottom w:val="single" w:color="auto" w:sz="6" w:space="0"/>
            </w:tcBorders>
            <w:noWrap w:val="0"/>
            <w:vAlign w:val="center"/>
          </w:tcPr>
          <w:p w14:paraId="7DB6822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69B07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tcBorders>
              <w:top w:val="nil"/>
            </w:tcBorders>
            <w:noWrap w:val="0"/>
            <w:vAlign w:val="center"/>
          </w:tcPr>
          <w:p w14:paraId="1C86D93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05" w:type="pct"/>
            <w:tcBorders>
              <w:top w:val="nil"/>
            </w:tcBorders>
            <w:noWrap w:val="0"/>
            <w:vAlign w:val="center"/>
          </w:tcPr>
          <w:p w14:paraId="1A1E640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tcBorders>
              <w:top w:val="nil"/>
            </w:tcBorders>
            <w:noWrap w:val="0"/>
            <w:vAlign w:val="center"/>
          </w:tcPr>
          <w:p w14:paraId="15583B2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87" w:type="pct"/>
            <w:tcBorders>
              <w:top w:val="nil"/>
            </w:tcBorders>
            <w:noWrap w:val="0"/>
            <w:vAlign w:val="center"/>
          </w:tcPr>
          <w:p w14:paraId="291EA35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tcBorders>
              <w:top w:val="nil"/>
            </w:tcBorders>
            <w:noWrap w:val="0"/>
            <w:vAlign w:val="center"/>
          </w:tcPr>
          <w:p w14:paraId="20EFDF2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22" w:type="pct"/>
            <w:tcBorders>
              <w:top w:val="nil"/>
            </w:tcBorders>
            <w:noWrap w:val="0"/>
            <w:vAlign w:val="center"/>
          </w:tcPr>
          <w:p w14:paraId="6ECE86C4">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7A891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734A1F7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05" w:type="pct"/>
            <w:noWrap w:val="0"/>
            <w:vAlign w:val="center"/>
          </w:tcPr>
          <w:p w14:paraId="2FDD6AE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7B62CCD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87" w:type="pct"/>
            <w:noWrap w:val="0"/>
            <w:vAlign w:val="center"/>
          </w:tcPr>
          <w:p w14:paraId="475FC2F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745263F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22" w:type="pct"/>
            <w:noWrap w:val="0"/>
            <w:vAlign w:val="center"/>
          </w:tcPr>
          <w:p w14:paraId="2DA33087">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80BA9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69B97AF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05" w:type="pct"/>
            <w:noWrap w:val="0"/>
            <w:vAlign w:val="center"/>
          </w:tcPr>
          <w:p w14:paraId="1F6C9A9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4C6D90C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87" w:type="pct"/>
            <w:noWrap w:val="0"/>
            <w:vAlign w:val="center"/>
          </w:tcPr>
          <w:p w14:paraId="75801C7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0ECF253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22" w:type="pct"/>
            <w:noWrap w:val="0"/>
            <w:vAlign w:val="center"/>
          </w:tcPr>
          <w:p w14:paraId="6AE92DAA">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505C6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4BC5EF0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05" w:type="pct"/>
            <w:noWrap w:val="0"/>
            <w:vAlign w:val="center"/>
          </w:tcPr>
          <w:p w14:paraId="0AEF40A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15B8B69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87" w:type="pct"/>
            <w:noWrap w:val="0"/>
            <w:vAlign w:val="center"/>
          </w:tcPr>
          <w:p w14:paraId="748DA80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5B71D46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22" w:type="pct"/>
            <w:noWrap w:val="0"/>
            <w:vAlign w:val="center"/>
          </w:tcPr>
          <w:p w14:paraId="1176FC3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8746E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3A56077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05" w:type="pct"/>
            <w:noWrap w:val="0"/>
            <w:vAlign w:val="center"/>
          </w:tcPr>
          <w:p w14:paraId="52F51EB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7CD9107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87" w:type="pct"/>
            <w:noWrap w:val="0"/>
            <w:vAlign w:val="center"/>
          </w:tcPr>
          <w:p w14:paraId="1887844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76A72B6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22" w:type="pct"/>
            <w:noWrap w:val="0"/>
            <w:vAlign w:val="center"/>
          </w:tcPr>
          <w:p w14:paraId="1E59097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538AE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44EE153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05" w:type="pct"/>
            <w:noWrap w:val="0"/>
            <w:vAlign w:val="center"/>
          </w:tcPr>
          <w:p w14:paraId="6859CF8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501C5D3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87" w:type="pct"/>
            <w:noWrap w:val="0"/>
            <w:vAlign w:val="center"/>
          </w:tcPr>
          <w:p w14:paraId="5B8BB36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0524D0C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22" w:type="pct"/>
            <w:noWrap w:val="0"/>
            <w:vAlign w:val="center"/>
          </w:tcPr>
          <w:p w14:paraId="2FFCA9B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E9C0C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6711968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05" w:type="pct"/>
            <w:noWrap w:val="0"/>
            <w:vAlign w:val="center"/>
          </w:tcPr>
          <w:p w14:paraId="4E96F79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7E08D6B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87" w:type="pct"/>
            <w:noWrap w:val="0"/>
            <w:vAlign w:val="center"/>
          </w:tcPr>
          <w:p w14:paraId="34703DA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5A58722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22" w:type="pct"/>
            <w:noWrap w:val="0"/>
            <w:vAlign w:val="center"/>
          </w:tcPr>
          <w:p w14:paraId="5F637F64">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A23A8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565DCB6A">
            <w:pPr>
              <w:spacing w:line="360" w:lineRule="auto"/>
              <w:rPr>
                <w:rFonts w:hint="eastAsia" w:ascii="宋体" w:hAnsi="宋体" w:eastAsia="宋体" w:cs="宋体"/>
                <w:color w:val="000000"/>
                <w:sz w:val="24"/>
                <w:szCs w:val="24"/>
              </w:rPr>
            </w:pPr>
          </w:p>
        </w:tc>
        <w:tc>
          <w:tcPr>
            <w:tcW w:w="705" w:type="pct"/>
            <w:noWrap w:val="0"/>
            <w:vAlign w:val="top"/>
          </w:tcPr>
          <w:p w14:paraId="003100AE">
            <w:pPr>
              <w:spacing w:line="360" w:lineRule="auto"/>
              <w:rPr>
                <w:rFonts w:hint="eastAsia" w:ascii="宋体" w:hAnsi="宋体" w:eastAsia="宋体" w:cs="宋体"/>
                <w:color w:val="000000"/>
                <w:sz w:val="24"/>
                <w:szCs w:val="24"/>
              </w:rPr>
            </w:pPr>
          </w:p>
        </w:tc>
        <w:tc>
          <w:tcPr>
            <w:tcW w:w="801" w:type="pct"/>
            <w:noWrap w:val="0"/>
            <w:vAlign w:val="top"/>
          </w:tcPr>
          <w:p w14:paraId="78EFC273">
            <w:pPr>
              <w:spacing w:line="360" w:lineRule="auto"/>
              <w:rPr>
                <w:rFonts w:hint="eastAsia" w:ascii="宋体" w:hAnsi="宋体" w:eastAsia="宋体" w:cs="宋体"/>
                <w:color w:val="000000"/>
                <w:sz w:val="24"/>
                <w:szCs w:val="24"/>
              </w:rPr>
            </w:pPr>
          </w:p>
        </w:tc>
        <w:tc>
          <w:tcPr>
            <w:tcW w:w="687" w:type="pct"/>
            <w:noWrap w:val="0"/>
            <w:vAlign w:val="top"/>
          </w:tcPr>
          <w:p w14:paraId="66EFECCA">
            <w:pPr>
              <w:spacing w:line="360" w:lineRule="auto"/>
              <w:rPr>
                <w:rFonts w:hint="eastAsia" w:ascii="宋体" w:hAnsi="宋体" w:eastAsia="宋体" w:cs="宋体"/>
                <w:color w:val="000000"/>
                <w:sz w:val="24"/>
                <w:szCs w:val="24"/>
              </w:rPr>
            </w:pPr>
          </w:p>
        </w:tc>
        <w:tc>
          <w:tcPr>
            <w:tcW w:w="801" w:type="pct"/>
            <w:noWrap w:val="0"/>
            <w:vAlign w:val="top"/>
          </w:tcPr>
          <w:p w14:paraId="70BB3321">
            <w:pPr>
              <w:spacing w:line="360" w:lineRule="auto"/>
              <w:rPr>
                <w:rFonts w:hint="eastAsia" w:ascii="宋体" w:hAnsi="宋体" w:eastAsia="宋体" w:cs="宋体"/>
                <w:color w:val="000000"/>
                <w:sz w:val="24"/>
                <w:szCs w:val="24"/>
              </w:rPr>
            </w:pPr>
          </w:p>
        </w:tc>
        <w:tc>
          <w:tcPr>
            <w:tcW w:w="922" w:type="pct"/>
            <w:noWrap w:val="0"/>
            <w:vAlign w:val="top"/>
          </w:tcPr>
          <w:p w14:paraId="00738AE4">
            <w:pPr>
              <w:spacing w:line="360" w:lineRule="auto"/>
              <w:rPr>
                <w:rFonts w:hint="eastAsia" w:ascii="宋体" w:hAnsi="宋体" w:eastAsia="宋体" w:cs="宋体"/>
                <w:color w:val="000000"/>
                <w:sz w:val="24"/>
                <w:szCs w:val="24"/>
              </w:rPr>
            </w:pPr>
          </w:p>
        </w:tc>
      </w:tr>
      <w:tr w14:paraId="2EBC98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624ACCE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05" w:type="pct"/>
            <w:noWrap w:val="0"/>
            <w:vAlign w:val="center"/>
          </w:tcPr>
          <w:p w14:paraId="5E7D23D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7831C62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87" w:type="pct"/>
            <w:noWrap w:val="0"/>
            <w:vAlign w:val="center"/>
          </w:tcPr>
          <w:p w14:paraId="1CF9450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7557A42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22" w:type="pct"/>
            <w:noWrap w:val="0"/>
            <w:vAlign w:val="center"/>
          </w:tcPr>
          <w:p w14:paraId="358D29A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7B4AF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21C33595">
            <w:pPr>
              <w:spacing w:line="360" w:lineRule="auto"/>
              <w:rPr>
                <w:rFonts w:hint="eastAsia" w:ascii="宋体" w:hAnsi="宋体" w:eastAsia="宋体" w:cs="宋体"/>
                <w:color w:val="000000"/>
                <w:sz w:val="24"/>
                <w:szCs w:val="24"/>
              </w:rPr>
            </w:pPr>
          </w:p>
        </w:tc>
        <w:tc>
          <w:tcPr>
            <w:tcW w:w="705" w:type="pct"/>
            <w:noWrap w:val="0"/>
            <w:vAlign w:val="top"/>
          </w:tcPr>
          <w:p w14:paraId="5CBF32DF">
            <w:pPr>
              <w:spacing w:line="360" w:lineRule="auto"/>
              <w:rPr>
                <w:rFonts w:hint="eastAsia" w:ascii="宋体" w:hAnsi="宋体" w:eastAsia="宋体" w:cs="宋体"/>
                <w:color w:val="000000"/>
                <w:sz w:val="24"/>
                <w:szCs w:val="24"/>
              </w:rPr>
            </w:pPr>
          </w:p>
        </w:tc>
        <w:tc>
          <w:tcPr>
            <w:tcW w:w="801" w:type="pct"/>
            <w:noWrap w:val="0"/>
            <w:vAlign w:val="top"/>
          </w:tcPr>
          <w:p w14:paraId="1ED2FD97">
            <w:pPr>
              <w:spacing w:line="360" w:lineRule="auto"/>
              <w:rPr>
                <w:rFonts w:hint="eastAsia" w:ascii="宋体" w:hAnsi="宋体" w:eastAsia="宋体" w:cs="宋体"/>
                <w:color w:val="000000"/>
                <w:sz w:val="24"/>
                <w:szCs w:val="24"/>
              </w:rPr>
            </w:pPr>
          </w:p>
        </w:tc>
        <w:tc>
          <w:tcPr>
            <w:tcW w:w="687" w:type="pct"/>
            <w:noWrap w:val="0"/>
            <w:vAlign w:val="top"/>
          </w:tcPr>
          <w:p w14:paraId="3FE79E23">
            <w:pPr>
              <w:spacing w:line="360" w:lineRule="auto"/>
              <w:rPr>
                <w:rFonts w:hint="eastAsia" w:ascii="宋体" w:hAnsi="宋体" w:eastAsia="宋体" w:cs="宋体"/>
                <w:color w:val="000000"/>
                <w:sz w:val="24"/>
                <w:szCs w:val="24"/>
              </w:rPr>
            </w:pPr>
          </w:p>
        </w:tc>
        <w:tc>
          <w:tcPr>
            <w:tcW w:w="801" w:type="pct"/>
            <w:noWrap w:val="0"/>
            <w:vAlign w:val="top"/>
          </w:tcPr>
          <w:p w14:paraId="0AB74257">
            <w:pPr>
              <w:spacing w:line="360" w:lineRule="auto"/>
              <w:rPr>
                <w:rFonts w:hint="eastAsia" w:ascii="宋体" w:hAnsi="宋体" w:eastAsia="宋体" w:cs="宋体"/>
                <w:color w:val="000000"/>
                <w:sz w:val="24"/>
                <w:szCs w:val="24"/>
              </w:rPr>
            </w:pPr>
          </w:p>
        </w:tc>
        <w:tc>
          <w:tcPr>
            <w:tcW w:w="922" w:type="pct"/>
            <w:noWrap w:val="0"/>
            <w:vAlign w:val="top"/>
          </w:tcPr>
          <w:p w14:paraId="57F34605">
            <w:pPr>
              <w:spacing w:line="360" w:lineRule="auto"/>
              <w:rPr>
                <w:rFonts w:hint="eastAsia" w:ascii="宋体" w:hAnsi="宋体" w:eastAsia="宋体" w:cs="宋体"/>
                <w:color w:val="000000"/>
                <w:sz w:val="24"/>
                <w:szCs w:val="24"/>
              </w:rPr>
            </w:pPr>
          </w:p>
        </w:tc>
      </w:tr>
      <w:tr w14:paraId="0F2351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3460BA8A">
            <w:pPr>
              <w:spacing w:line="360" w:lineRule="auto"/>
              <w:rPr>
                <w:rFonts w:hint="eastAsia" w:ascii="宋体" w:hAnsi="宋体" w:eastAsia="宋体" w:cs="宋体"/>
                <w:color w:val="000000"/>
                <w:sz w:val="24"/>
                <w:szCs w:val="24"/>
              </w:rPr>
            </w:pPr>
          </w:p>
        </w:tc>
        <w:tc>
          <w:tcPr>
            <w:tcW w:w="705" w:type="pct"/>
            <w:noWrap w:val="0"/>
            <w:vAlign w:val="top"/>
          </w:tcPr>
          <w:p w14:paraId="41407578">
            <w:pPr>
              <w:spacing w:line="360" w:lineRule="auto"/>
              <w:rPr>
                <w:rFonts w:hint="eastAsia" w:ascii="宋体" w:hAnsi="宋体" w:eastAsia="宋体" w:cs="宋体"/>
                <w:color w:val="000000"/>
                <w:sz w:val="24"/>
                <w:szCs w:val="24"/>
              </w:rPr>
            </w:pPr>
          </w:p>
        </w:tc>
        <w:tc>
          <w:tcPr>
            <w:tcW w:w="801" w:type="pct"/>
            <w:noWrap w:val="0"/>
            <w:vAlign w:val="top"/>
          </w:tcPr>
          <w:p w14:paraId="409C8FF0">
            <w:pPr>
              <w:spacing w:line="360" w:lineRule="auto"/>
              <w:rPr>
                <w:rFonts w:hint="eastAsia" w:ascii="宋体" w:hAnsi="宋体" w:eastAsia="宋体" w:cs="宋体"/>
                <w:color w:val="000000"/>
                <w:sz w:val="24"/>
                <w:szCs w:val="24"/>
              </w:rPr>
            </w:pPr>
          </w:p>
        </w:tc>
        <w:tc>
          <w:tcPr>
            <w:tcW w:w="687" w:type="pct"/>
            <w:noWrap w:val="0"/>
            <w:vAlign w:val="top"/>
          </w:tcPr>
          <w:p w14:paraId="1F7C4D13">
            <w:pPr>
              <w:spacing w:line="360" w:lineRule="auto"/>
              <w:rPr>
                <w:rFonts w:hint="eastAsia" w:ascii="宋体" w:hAnsi="宋体" w:eastAsia="宋体" w:cs="宋体"/>
                <w:color w:val="000000"/>
                <w:sz w:val="24"/>
                <w:szCs w:val="24"/>
              </w:rPr>
            </w:pPr>
          </w:p>
        </w:tc>
        <w:tc>
          <w:tcPr>
            <w:tcW w:w="801" w:type="pct"/>
            <w:noWrap w:val="0"/>
            <w:vAlign w:val="top"/>
          </w:tcPr>
          <w:p w14:paraId="2D2E0995">
            <w:pPr>
              <w:spacing w:line="360" w:lineRule="auto"/>
              <w:rPr>
                <w:rFonts w:hint="eastAsia" w:ascii="宋体" w:hAnsi="宋体" w:eastAsia="宋体" w:cs="宋体"/>
                <w:color w:val="000000"/>
                <w:sz w:val="24"/>
                <w:szCs w:val="24"/>
              </w:rPr>
            </w:pPr>
          </w:p>
        </w:tc>
        <w:tc>
          <w:tcPr>
            <w:tcW w:w="922" w:type="pct"/>
            <w:noWrap w:val="0"/>
            <w:vAlign w:val="top"/>
          </w:tcPr>
          <w:p w14:paraId="4F3D6610">
            <w:pPr>
              <w:spacing w:line="360" w:lineRule="auto"/>
              <w:rPr>
                <w:rFonts w:hint="eastAsia" w:ascii="宋体" w:hAnsi="宋体" w:eastAsia="宋体" w:cs="宋体"/>
                <w:color w:val="000000"/>
                <w:sz w:val="24"/>
                <w:szCs w:val="24"/>
              </w:rPr>
            </w:pPr>
          </w:p>
        </w:tc>
      </w:tr>
      <w:tr w14:paraId="56EA3A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44D252BB">
            <w:pPr>
              <w:spacing w:line="360" w:lineRule="auto"/>
              <w:rPr>
                <w:rFonts w:hint="eastAsia" w:ascii="宋体" w:hAnsi="宋体" w:eastAsia="宋体" w:cs="宋体"/>
                <w:color w:val="000000"/>
                <w:sz w:val="24"/>
                <w:szCs w:val="24"/>
              </w:rPr>
            </w:pPr>
          </w:p>
        </w:tc>
        <w:tc>
          <w:tcPr>
            <w:tcW w:w="705" w:type="pct"/>
            <w:noWrap w:val="0"/>
            <w:vAlign w:val="top"/>
          </w:tcPr>
          <w:p w14:paraId="6916CF34">
            <w:pPr>
              <w:spacing w:line="360" w:lineRule="auto"/>
              <w:rPr>
                <w:rFonts w:hint="eastAsia" w:ascii="宋体" w:hAnsi="宋体" w:eastAsia="宋体" w:cs="宋体"/>
                <w:color w:val="000000"/>
                <w:sz w:val="24"/>
                <w:szCs w:val="24"/>
              </w:rPr>
            </w:pPr>
          </w:p>
        </w:tc>
        <w:tc>
          <w:tcPr>
            <w:tcW w:w="801" w:type="pct"/>
            <w:noWrap w:val="0"/>
            <w:vAlign w:val="top"/>
          </w:tcPr>
          <w:p w14:paraId="2D39C5EE">
            <w:pPr>
              <w:spacing w:line="360" w:lineRule="auto"/>
              <w:rPr>
                <w:rFonts w:hint="eastAsia" w:ascii="宋体" w:hAnsi="宋体" w:eastAsia="宋体" w:cs="宋体"/>
                <w:color w:val="000000"/>
                <w:sz w:val="24"/>
                <w:szCs w:val="24"/>
              </w:rPr>
            </w:pPr>
          </w:p>
        </w:tc>
        <w:tc>
          <w:tcPr>
            <w:tcW w:w="687" w:type="pct"/>
            <w:noWrap w:val="0"/>
            <w:vAlign w:val="top"/>
          </w:tcPr>
          <w:p w14:paraId="3EE8D2BA">
            <w:pPr>
              <w:spacing w:line="360" w:lineRule="auto"/>
              <w:rPr>
                <w:rFonts w:hint="eastAsia" w:ascii="宋体" w:hAnsi="宋体" w:eastAsia="宋体" w:cs="宋体"/>
                <w:color w:val="000000"/>
                <w:sz w:val="24"/>
                <w:szCs w:val="24"/>
              </w:rPr>
            </w:pPr>
          </w:p>
        </w:tc>
        <w:tc>
          <w:tcPr>
            <w:tcW w:w="801" w:type="pct"/>
            <w:noWrap w:val="0"/>
            <w:vAlign w:val="top"/>
          </w:tcPr>
          <w:p w14:paraId="492F6910">
            <w:pPr>
              <w:spacing w:line="360" w:lineRule="auto"/>
              <w:rPr>
                <w:rFonts w:hint="eastAsia" w:ascii="宋体" w:hAnsi="宋体" w:eastAsia="宋体" w:cs="宋体"/>
                <w:color w:val="000000"/>
                <w:sz w:val="24"/>
                <w:szCs w:val="24"/>
              </w:rPr>
            </w:pPr>
          </w:p>
        </w:tc>
        <w:tc>
          <w:tcPr>
            <w:tcW w:w="922" w:type="pct"/>
            <w:noWrap w:val="0"/>
            <w:vAlign w:val="top"/>
          </w:tcPr>
          <w:p w14:paraId="2FB2681E">
            <w:pPr>
              <w:spacing w:line="360" w:lineRule="auto"/>
              <w:rPr>
                <w:rFonts w:hint="eastAsia" w:ascii="宋体" w:hAnsi="宋体" w:eastAsia="宋体" w:cs="宋体"/>
                <w:color w:val="000000"/>
                <w:sz w:val="24"/>
                <w:szCs w:val="24"/>
              </w:rPr>
            </w:pPr>
          </w:p>
        </w:tc>
      </w:tr>
      <w:tr w14:paraId="0AA432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77835D19">
            <w:pPr>
              <w:spacing w:line="360" w:lineRule="auto"/>
              <w:rPr>
                <w:rFonts w:hint="eastAsia" w:ascii="宋体" w:hAnsi="宋体" w:eastAsia="宋体" w:cs="宋体"/>
                <w:color w:val="000000"/>
                <w:sz w:val="24"/>
                <w:szCs w:val="24"/>
              </w:rPr>
            </w:pPr>
          </w:p>
        </w:tc>
        <w:tc>
          <w:tcPr>
            <w:tcW w:w="705" w:type="pct"/>
            <w:noWrap w:val="0"/>
            <w:vAlign w:val="top"/>
          </w:tcPr>
          <w:p w14:paraId="10A52125">
            <w:pPr>
              <w:spacing w:line="360" w:lineRule="auto"/>
              <w:rPr>
                <w:rFonts w:hint="eastAsia" w:ascii="宋体" w:hAnsi="宋体" w:eastAsia="宋体" w:cs="宋体"/>
                <w:color w:val="000000"/>
                <w:sz w:val="24"/>
                <w:szCs w:val="24"/>
              </w:rPr>
            </w:pPr>
          </w:p>
        </w:tc>
        <w:tc>
          <w:tcPr>
            <w:tcW w:w="801" w:type="pct"/>
            <w:noWrap w:val="0"/>
            <w:vAlign w:val="top"/>
          </w:tcPr>
          <w:p w14:paraId="24DFA889">
            <w:pPr>
              <w:spacing w:line="360" w:lineRule="auto"/>
              <w:rPr>
                <w:rFonts w:hint="eastAsia" w:ascii="宋体" w:hAnsi="宋体" w:eastAsia="宋体" w:cs="宋体"/>
                <w:color w:val="000000"/>
                <w:sz w:val="24"/>
                <w:szCs w:val="24"/>
              </w:rPr>
            </w:pPr>
          </w:p>
        </w:tc>
        <w:tc>
          <w:tcPr>
            <w:tcW w:w="687" w:type="pct"/>
            <w:noWrap w:val="0"/>
            <w:vAlign w:val="top"/>
          </w:tcPr>
          <w:p w14:paraId="282AD6DE">
            <w:pPr>
              <w:spacing w:line="360" w:lineRule="auto"/>
              <w:rPr>
                <w:rFonts w:hint="eastAsia" w:ascii="宋体" w:hAnsi="宋体" w:eastAsia="宋体" w:cs="宋体"/>
                <w:color w:val="000000"/>
                <w:sz w:val="24"/>
                <w:szCs w:val="24"/>
              </w:rPr>
            </w:pPr>
          </w:p>
        </w:tc>
        <w:tc>
          <w:tcPr>
            <w:tcW w:w="801" w:type="pct"/>
            <w:noWrap w:val="0"/>
            <w:vAlign w:val="top"/>
          </w:tcPr>
          <w:p w14:paraId="4E769F1F">
            <w:pPr>
              <w:spacing w:line="360" w:lineRule="auto"/>
              <w:rPr>
                <w:rFonts w:hint="eastAsia" w:ascii="宋体" w:hAnsi="宋体" w:eastAsia="宋体" w:cs="宋体"/>
                <w:color w:val="000000"/>
                <w:sz w:val="24"/>
                <w:szCs w:val="24"/>
              </w:rPr>
            </w:pPr>
          </w:p>
        </w:tc>
        <w:tc>
          <w:tcPr>
            <w:tcW w:w="922" w:type="pct"/>
            <w:noWrap w:val="0"/>
            <w:vAlign w:val="top"/>
          </w:tcPr>
          <w:p w14:paraId="53CFD504">
            <w:pPr>
              <w:spacing w:line="360" w:lineRule="auto"/>
              <w:rPr>
                <w:rFonts w:hint="eastAsia" w:ascii="宋体" w:hAnsi="宋体" w:eastAsia="宋体" w:cs="宋体"/>
                <w:color w:val="000000"/>
                <w:sz w:val="24"/>
                <w:szCs w:val="24"/>
              </w:rPr>
            </w:pPr>
          </w:p>
        </w:tc>
      </w:tr>
      <w:tr w14:paraId="6AF594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3019DF4E">
            <w:pPr>
              <w:spacing w:line="360" w:lineRule="auto"/>
              <w:rPr>
                <w:rFonts w:hint="eastAsia" w:ascii="宋体" w:hAnsi="宋体" w:eastAsia="宋体" w:cs="宋体"/>
                <w:color w:val="000000"/>
                <w:sz w:val="24"/>
                <w:szCs w:val="24"/>
              </w:rPr>
            </w:pPr>
          </w:p>
        </w:tc>
        <w:tc>
          <w:tcPr>
            <w:tcW w:w="705" w:type="pct"/>
            <w:noWrap w:val="0"/>
            <w:vAlign w:val="top"/>
          </w:tcPr>
          <w:p w14:paraId="67F6ABB2">
            <w:pPr>
              <w:spacing w:line="360" w:lineRule="auto"/>
              <w:rPr>
                <w:rFonts w:hint="eastAsia" w:ascii="宋体" w:hAnsi="宋体" w:eastAsia="宋体" w:cs="宋体"/>
                <w:color w:val="000000"/>
                <w:sz w:val="24"/>
                <w:szCs w:val="24"/>
              </w:rPr>
            </w:pPr>
          </w:p>
        </w:tc>
        <w:tc>
          <w:tcPr>
            <w:tcW w:w="801" w:type="pct"/>
            <w:noWrap w:val="0"/>
            <w:vAlign w:val="top"/>
          </w:tcPr>
          <w:p w14:paraId="19E8185A">
            <w:pPr>
              <w:spacing w:line="360" w:lineRule="auto"/>
              <w:rPr>
                <w:rFonts w:hint="eastAsia" w:ascii="宋体" w:hAnsi="宋体" w:eastAsia="宋体" w:cs="宋体"/>
                <w:color w:val="000000"/>
                <w:sz w:val="24"/>
                <w:szCs w:val="24"/>
              </w:rPr>
            </w:pPr>
          </w:p>
        </w:tc>
        <w:tc>
          <w:tcPr>
            <w:tcW w:w="687" w:type="pct"/>
            <w:noWrap w:val="0"/>
            <w:vAlign w:val="top"/>
          </w:tcPr>
          <w:p w14:paraId="449A6440">
            <w:pPr>
              <w:spacing w:line="360" w:lineRule="auto"/>
              <w:rPr>
                <w:rFonts w:hint="eastAsia" w:ascii="宋体" w:hAnsi="宋体" w:eastAsia="宋体" w:cs="宋体"/>
                <w:color w:val="000000"/>
                <w:sz w:val="24"/>
                <w:szCs w:val="24"/>
              </w:rPr>
            </w:pPr>
          </w:p>
        </w:tc>
        <w:tc>
          <w:tcPr>
            <w:tcW w:w="801" w:type="pct"/>
            <w:noWrap w:val="0"/>
            <w:vAlign w:val="top"/>
          </w:tcPr>
          <w:p w14:paraId="46CBEC65">
            <w:pPr>
              <w:spacing w:line="360" w:lineRule="auto"/>
              <w:rPr>
                <w:rFonts w:hint="eastAsia" w:ascii="宋体" w:hAnsi="宋体" w:eastAsia="宋体" w:cs="宋体"/>
                <w:color w:val="000000"/>
                <w:sz w:val="24"/>
                <w:szCs w:val="24"/>
              </w:rPr>
            </w:pPr>
          </w:p>
        </w:tc>
        <w:tc>
          <w:tcPr>
            <w:tcW w:w="922" w:type="pct"/>
            <w:noWrap w:val="0"/>
            <w:vAlign w:val="top"/>
          </w:tcPr>
          <w:p w14:paraId="0410BFB7">
            <w:pPr>
              <w:spacing w:line="360" w:lineRule="auto"/>
              <w:rPr>
                <w:rFonts w:hint="eastAsia" w:ascii="宋体" w:hAnsi="宋体" w:eastAsia="宋体" w:cs="宋体"/>
                <w:color w:val="000000"/>
                <w:sz w:val="24"/>
                <w:szCs w:val="24"/>
              </w:rPr>
            </w:pPr>
          </w:p>
        </w:tc>
      </w:tr>
      <w:tr w14:paraId="57C895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287D0F47">
            <w:pPr>
              <w:spacing w:line="360" w:lineRule="auto"/>
              <w:rPr>
                <w:rFonts w:hint="eastAsia" w:ascii="宋体" w:hAnsi="宋体" w:eastAsia="宋体" w:cs="宋体"/>
                <w:color w:val="000000"/>
                <w:sz w:val="24"/>
                <w:szCs w:val="24"/>
              </w:rPr>
            </w:pPr>
          </w:p>
        </w:tc>
        <w:tc>
          <w:tcPr>
            <w:tcW w:w="705" w:type="pct"/>
            <w:noWrap w:val="0"/>
            <w:vAlign w:val="top"/>
          </w:tcPr>
          <w:p w14:paraId="25231C12">
            <w:pPr>
              <w:spacing w:line="360" w:lineRule="auto"/>
              <w:rPr>
                <w:rFonts w:hint="eastAsia" w:ascii="宋体" w:hAnsi="宋体" w:eastAsia="宋体" w:cs="宋体"/>
                <w:color w:val="000000"/>
                <w:sz w:val="24"/>
                <w:szCs w:val="24"/>
              </w:rPr>
            </w:pPr>
          </w:p>
        </w:tc>
        <w:tc>
          <w:tcPr>
            <w:tcW w:w="801" w:type="pct"/>
            <w:noWrap w:val="0"/>
            <w:vAlign w:val="top"/>
          </w:tcPr>
          <w:p w14:paraId="4BFFCF3C">
            <w:pPr>
              <w:spacing w:line="360" w:lineRule="auto"/>
              <w:rPr>
                <w:rFonts w:hint="eastAsia" w:ascii="宋体" w:hAnsi="宋体" w:eastAsia="宋体" w:cs="宋体"/>
                <w:color w:val="000000"/>
                <w:sz w:val="24"/>
                <w:szCs w:val="24"/>
              </w:rPr>
            </w:pPr>
          </w:p>
        </w:tc>
        <w:tc>
          <w:tcPr>
            <w:tcW w:w="687" w:type="pct"/>
            <w:noWrap w:val="0"/>
            <w:vAlign w:val="top"/>
          </w:tcPr>
          <w:p w14:paraId="17B8D3B5">
            <w:pPr>
              <w:spacing w:line="360" w:lineRule="auto"/>
              <w:rPr>
                <w:rFonts w:hint="eastAsia" w:ascii="宋体" w:hAnsi="宋体" w:eastAsia="宋体" w:cs="宋体"/>
                <w:color w:val="000000"/>
                <w:sz w:val="24"/>
                <w:szCs w:val="24"/>
              </w:rPr>
            </w:pPr>
          </w:p>
        </w:tc>
        <w:tc>
          <w:tcPr>
            <w:tcW w:w="801" w:type="pct"/>
            <w:noWrap w:val="0"/>
            <w:vAlign w:val="top"/>
          </w:tcPr>
          <w:p w14:paraId="439F62D1">
            <w:pPr>
              <w:spacing w:line="360" w:lineRule="auto"/>
              <w:rPr>
                <w:rFonts w:hint="eastAsia" w:ascii="宋体" w:hAnsi="宋体" w:eastAsia="宋体" w:cs="宋体"/>
                <w:color w:val="000000"/>
                <w:sz w:val="24"/>
                <w:szCs w:val="24"/>
              </w:rPr>
            </w:pPr>
          </w:p>
        </w:tc>
        <w:tc>
          <w:tcPr>
            <w:tcW w:w="922" w:type="pct"/>
            <w:noWrap w:val="0"/>
            <w:vAlign w:val="top"/>
          </w:tcPr>
          <w:p w14:paraId="7051EDB9">
            <w:pPr>
              <w:spacing w:line="360" w:lineRule="auto"/>
              <w:rPr>
                <w:rFonts w:hint="eastAsia" w:ascii="宋体" w:hAnsi="宋体" w:eastAsia="宋体" w:cs="宋体"/>
                <w:color w:val="000000"/>
                <w:sz w:val="24"/>
                <w:szCs w:val="24"/>
              </w:rPr>
            </w:pPr>
          </w:p>
        </w:tc>
      </w:tr>
      <w:tr w14:paraId="1EEA4F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1966422E">
            <w:pPr>
              <w:spacing w:line="360" w:lineRule="auto"/>
              <w:rPr>
                <w:rFonts w:hint="eastAsia" w:ascii="宋体" w:hAnsi="宋体" w:eastAsia="宋体" w:cs="宋体"/>
                <w:color w:val="000000"/>
                <w:sz w:val="24"/>
                <w:szCs w:val="24"/>
              </w:rPr>
            </w:pPr>
          </w:p>
        </w:tc>
        <w:tc>
          <w:tcPr>
            <w:tcW w:w="705" w:type="pct"/>
            <w:noWrap w:val="0"/>
            <w:vAlign w:val="top"/>
          </w:tcPr>
          <w:p w14:paraId="2CE6D86B">
            <w:pPr>
              <w:spacing w:line="360" w:lineRule="auto"/>
              <w:rPr>
                <w:rFonts w:hint="eastAsia" w:ascii="宋体" w:hAnsi="宋体" w:eastAsia="宋体" w:cs="宋体"/>
                <w:color w:val="000000"/>
                <w:sz w:val="24"/>
                <w:szCs w:val="24"/>
              </w:rPr>
            </w:pPr>
          </w:p>
        </w:tc>
        <w:tc>
          <w:tcPr>
            <w:tcW w:w="801" w:type="pct"/>
            <w:noWrap w:val="0"/>
            <w:vAlign w:val="top"/>
          </w:tcPr>
          <w:p w14:paraId="48CDA857">
            <w:pPr>
              <w:spacing w:line="360" w:lineRule="auto"/>
              <w:rPr>
                <w:rFonts w:hint="eastAsia" w:ascii="宋体" w:hAnsi="宋体" w:eastAsia="宋体" w:cs="宋体"/>
                <w:color w:val="000000"/>
                <w:sz w:val="24"/>
                <w:szCs w:val="24"/>
              </w:rPr>
            </w:pPr>
          </w:p>
        </w:tc>
        <w:tc>
          <w:tcPr>
            <w:tcW w:w="687" w:type="pct"/>
            <w:noWrap w:val="0"/>
            <w:vAlign w:val="top"/>
          </w:tcPr>
          <w:p w14:paraId="30700DCB">
            <w:pPr>
              <w:spacing w:line="360" w:lineRule="auto"/>
              <w:rPr>
                <w:rFonts w:hint="eastAsia" w:ascii="宋体" w:hAnsi="宋体" w:eastAsia="宋体" w:cs="宋体"/>
                <w:color w:val="000000"/>
                <w:sz w:val="24"/>
                <w:szCs w:val="24"/>
              </w:rPr>
            </w:pPr>
          </w:p>
        </w:tc>
        <w:tc>
          <w:tcPr>
            <w:tcW w:w="801" w:type="pct"/>
            <w:noWrap w:val="0"/>
            <w:vAlign w:val="top"/>
          </w:tcPr>
          <w:p w14:paraId="5B388697">
            <w:pPr>
              <w:spacing w:line="360" w:lineRule="auto"/>
              <w:rPr>
                <w:rFonts w:hint="eastAsia" w:ascii="宋体" w:hAnsi="宋体" w:eastAsia="宋体" w:cs="宋体"/>
                <w:color w:val="000000"/>
                <w:sz w:val="24"/>
                <w:szCs w:val="24"/>
              </w:rPr>
            </w:pPr>
          </w:p>
        </w:tc>
        <w:tc>
          <w:tcPr>
            <w:tcW w:w="922" w:type="pct"/>
            <w:noWrap w:val="0"/>
            <w:vAlign w:val="top"/>
          </w:tcPr>
          <w:p w14:paraId="36C98897">
            <w:pPr>
              <w:spacing w:line="360" w:lineRule="auto"/>
              <w:rPr>
                <w:rFonts w:hint="eastAsia" w:ascii="宋体" w:hAnsi="宋体" w:eastAsia="宋体" w:cs="宋体"/>
                <w:color w:val="000000"/>
                <w:sz w:val="24"/>
                <w:szCs w:val="24"/>
              </w:rPr>
            </w:pPr>
          </w:p>
        </w:tc>
      </w:tr>
      <w:tr w14:paraId="0D692A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1AB17658">
            <w:pPr>
              <w:spacing w:line="360" w:lineRule="auto"/>
              <w:rPr>
                <w:rFonts w:hint="eastAsia" w:ascii="宋体" w:hAnsi="宋体" w:eastAsia="宋体" w:cs="宋体"/>
                <w:color w:val="000000"/>
                <w:sz w:val="24"/>
                <w:szCs w:val="24"/>
              </w:rPr>
            </w:pPr>
          </w:p>
        </w:tc>
        <w:tc>
          <w:tcPr>
            <w:tcW w:w="705" w:type="pct"/>
            <w:noWrap w:val="0"/>
            <w:vAlign w:val="top"/>
          </w:tcPr>
          <w:p w14:paraId="22DA8B77">
            <w:pPr>
              <w:spacing w:line="360" w:lineRule="auto"/>
              <w:rPr>
                <w:rFonts w:hint="eastAsia" w:ascii="宋体" w:hAnsi="宋体" w:eastAsia="宋体" w:cs="宋体"/>
                <w:color w:val="000000"/>
                <w:sz w:val="24"/>
                <w:szCs w:val="24"/>
              </w:rPr>
            </w:pPr>
          </w:p>
        </w:tc>
        <w:tc>
          <w:tcPr>
            <w:tcW w:w="801" w:type="pct"/>
            <w:noWrap w:val="0"/>
            <w:vAlign w:val="top"/>
          </w:tcPr>
          <w:p w14:paraId="54337BBC">
            <w:pPr>
              <w:spacing w:line="360" w:lineRule="auto"/>
              <w:rPr>
                <w:rFonts w:hint="eastAsia" w:ascii="宋体" w:hAnsi="宋体" w:eastAsia="宋体" w:cs="宋体"/>
                <w:color w:val="000000"/>
                <w:sz w:val="24"/>
                <w:szCs w:val="24"/>
              </w:rPr>
            </w:pPr>
          </w:p>
        </w:tc>
        <w:tc>
          <w:tcPr>
            <w:tcW w:w="687" w:type="pct"/>
            <w:noWrap w:val="0"/>
            <w:vAlign w:val="top"/>
          </w:tcPr>
          <w:p w14:paraId="05EC8F90">
            <w:pPr>
              <w:spacing w:line="360" w:lineRule="auto"/>
              <w:rPr>
                <w:rFonts w:hint="eastAsia" w:ascii="宋体" w:hAnsi="宋体" w:eastAsia="宋体" w:cs="宋体"/>
                <w:color w:val="000000"/>
                <w:sz w:val="24"/>
                <w:szCs w:val="24"/>
              </w:rPr>
            </w:pPr>
          </w:p>
        </w:tc>
        <w:tc>
          <w:tcPr>
            <w:tcW w:w="801" w:type="pct"/>
            <w:noWrap w:val="0"/>
            <w:vAlign w:val="top"/>
          </w:tcPr>
          <w:p w14:paraId="5E24ADBB">
            <w:pPr>
              <w:spacing w:line="360" w:lineRule="auto"/>
              <w:rPr>
                <w:rFonts w:hint="eastAsia" w:ascii="宋体" w:hAnsi="宋体" w:eastAsia="宋体" w:cs="宋体"/>
                <w:color w:val="000000"/>
                <w:sz w:val="24"/>
                <w:szCs w:val="24"/>
              </w:rPr>
            </w:pPr>
          </w:p>
        </w:tc>
        <w:tc>
          <w:tcPr>
            <w:tcW w:w="922" w:type="pct"/>
            <w:noWrap w:val="0"/>
            <w:vAlign w:val="top"/>
          </w:tcPr>
          <w:p w14:paraId="48CC6D0D">
            <w:pPr>
              <w:spacing w:line="360" w:lineRule="auto"/>
              <w:rPr>
                <w:rFonts w:hint="eastAsia" w:ascii="宋体" w:hAnsi="宋体" w:eastAsia="宋体" w:cs="宋体"/>
                <w:color w:val="000000"/>
                <w:sz w:val="24"/>
                <w:szCs w:val="24"/>
              </w:rPr>
            </w:pPr>
          </w:p>
        </w:tc>
      </w:tr>
      <w:tr w14:paraId="17671F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3C7F25C0">
            <w:pPr>
              <w:spacing w:line="360" w:lineRule="auto"/>
              <w:rPr>
                <w:rFonts w:hint="eastAsia" w:ascii="宋体" w:hAnsi="宋体" w:eastAsia="宋体" w:cs="宋体"/>
                <w:color w:val="000000"/>
                <w:sz w:val="24"/>
                <w:szCs w:val="24"/>
              </w:rPr>
            </w:pPr>
          </w:p>
        </w:tc>
        <w:tc>
          <w:tcPr>
            <w:tcW w:w="705" w:type="pct"/>
            <w:noWrap w:val="0"/>
            <w:vAlign w:val="top"/>
          </w:tcPr>
          <w:p w14:paraId="19776BE4">
            <w:pPr>
              <w:spacing w:line="360" w:lineRule="auto"/>
              <w:rPr>
                <w:rFonts w:hint="eastAsia" w:ascii="宋体" w:hAnsi="宋体" w:eastAsia="宋体" w:cs="宋体"/>
                <w:color w:val="000000"/>
                <w:sz w:val="24"/>
                <w:szCs w:val="24"/>
              </w:rPr>
            </w:pPr>
          </w:p>
        </w:tc>
        <w:tc>
          <w:tcPr>
            <w:tcW w:w="801" w:type="pct"/>
            <w:noWrap w:val="0"/>
            <w:vAlign w:val="top"/>
          </w:tcPr>
          <w:p w14:paraId="03FAC8FF">
            <w:pPr>
              <w:spacing w:line="360" w:lineRule="auto"/>
              <w:rPr>
                <w:rFonts w:hint="eastAsia" w:ascii="宋体" w:hAnsi="宋体" w:eastAsia="宋体" w:cs="宋体"/>
                <w:color w:val="000000"/>
                <w:sz w:val="24"/>
                <w:szCs w:val="24"/>
              </w:rPr>
            </w:pPr>
          </w:p>
        </w:tc>
        <w:tc>
          <w:tcPr>
            <w:tcW w:w="687" w:type="pct"/>
            <w:noWrap w:val="0"/>
            <w:vAlign w:val="top"/>
          </w:tcPr>
          <w:p w14:paraId="2C043987">
            <w:pPr>
              <w:spacing w:line="360" w:lineRule="auto"/>
              <w:rPr>
                <w:rFonts w:hint="eastAsia" w:ascii="宋体" w:hAnsi="宋体" w:eastAsia="宋体" w:cs="宋体"/>
                <w:color w:val="000000"/>
                <w:sz w:val="24"/>
                <w:szCs w:val="24"/>
              </w:rPr>
            </w:pPr>
          </w:p>
        </w:tc>
        <w:tc>
          <w:tcPr>
            <w:tcW w:w="801" w:type="pct"/>
            <w:noWrap w:val="0"/>
            <w:vAlign w:val="top"/>
          </w:tcPr>
          <w:p w14:paraId="281078AA">
            <w:pPr>
              <w:spacing w:line="360" w:lineRule="auto"/>
              <w:rPr>
                <w:rFonts w:hint="eastAsia" w:ascii="宋体" w:hAnsi="宋体" w:eastAsia="宋体" w:cs="宋体"/>
                <w:color w:val="000000"/>
                <w:sz w:val="24"/>
                <w:szCs w:val="24"/>
              </w:rPr>
            </w:pPr>
          </w:p>
        </w:tc>
        <w:tc>
          <w:tcPr>
            <w:tcW w:w="922" w:type="pct"/>
            <w:noWrap w:val="0"/>
            <w:vAlign w:val="top"/>
          </w:tcPr>
          <w:p w14:paraId="07E38C21">
            <w:pPr>
              <w:spacing w:line="360" w:lineRule="auto"/>
              <w:rPr>
                <w:rFonts w:hint="eastAsia" w:ascii="宋体" w:hAnsi="宋体" w:eastAsia="宋体" w:cs="宋体"/>
                <w:color w:val="000000"/>
                <w:sz w:val="24"/>
                <w:szCs w:val="24"/>
              </w:rPr>
            </w:pPr>
          </w:p>
        </w:tc>
      </w:tr>
    </w:tbl>
    <w:p w14:paraId="42E685E6">
      <w:pPr>
        <w:spacing w:line="360" w:lineRule="auto"/>
        <w:rPr>
          <w:rFonts w:hint="eastAsia" w:ascii="宋体" w:hAnsi="宋体" w:eastAsia="宋体" w:cs="宋体"/>
          <w:color w:val="000000"/>
          <w:sz w:val="24"/>
          <w:szCs w:val="24"/>
        </w:rPr>
      </w:pPr>
    </w:p>
    <w:p w14:paraId="33F3DB6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附</w:t>
      </w:r>
      <w:bookmarkStart w:id="546" w:name="_Toc296891267"/>
      <w:bookmarkStart w:id="547" w:name="_Toc296347226"/>
      <w:bookmarkStart w:id="548" w:name="_Toc296944566"/>
      <w:bookmarkStart w:id="549" w:name="_Toc296503227"/>
      <w:bookmarkStart w:id="550" w:name="_Toc296891055"/>
      <w:bookmarkStart w:id="551" w:name="_Toc296346728"/>
      <w:bookmarkStart w:id="552" w:name="_Toc267261698"/>
      <w:r>
        <w:rPr>
          <w:rFonts w:hint="eastAsia" w:ascii="宋体" w:hAnsi="宋体" w:eastAsia="宋体" w:cs="宋体"/>
          <w:color w:val="000000"/>
          <w:sz w:val="24"/>
          <w:szCs w:val="24"/>
        </w:rPr>
        <w:t>件5：</w:t>
      </w:r>
    </w:p>
    <w:bookmarkEnd w:id="546"/>
    <w:bookmarkEnd w:id="547"/>
    <w:bookmarkEnd w:id="548"/>
    <w:bookmarkEnd w:id="549"/>
    <w:bookmarkEnd w:id="550"/>
    <w:bookmarkEnd w:id="551"/>
    <w:bookmarkEnd w:id="552"/>
    <w:p w14:paraId="0B3BEAF3">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承包人用于本工程施工的机械设备表</w:t>
      </w:r>
    </w:p>
    <w:tbl>
      <w:tblPr>
        <w:tblStyle w:val="41"/>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90"/>
        <w:gridCol w:w="1208"/>
        <w:gridCol w:w="724"/>
        <w:gridCol w:w="902"/>
        <w:gridCol w:w="750"/>
        <w:gridCol w:w="868"/>
        <w:gridCol w:w="1261"/>
        <w:gridCol w:w="868"/>
        <w:gridCol w:w="786"/>
      </w:tblGrid>
      <w:tr w14:paraId="7020C3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92" w:type="pct"/>
            <w:tcBorders>
              <w:top w:val="single" w:color="auto" w:sz="12" w:space="0"/>
              <w:bottom w:val="double" w:color="auto" w:sz="6" w:space="0"/>
            </w:tcBorders>
            <w:noWrap w:val="0"/>
            <w:vAlign w:val="center"/>
          </w:tcPr>
          <w:p w14:paraId="16425994">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722" w:type="pct"/>
            <w:tcBorders>
              <w:top w:val="single" w:color="auto" w:sz="12" w:space="0"/>
              <w:bottom w:val="double" w:color="auto" w:sz="6" w:space="0"/>
            </w:tcBorders>
            <w:noWrap w:val="0"/>
            <w:vAlign w:val="center"/>
          </w:tcPr>
          <w:p w14:paraId="4B1647CE">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机械或设备名称</w:t>
            </w:r>
          </w:p>
        </w:tc>
        <w:tc>
          <w:tcPr>
            <w:tcW w:w="433" w:type="pct"/>
            <w:tcBorders>
              <w:top w:val="single" w:color="auto" w:sz="12" w:space="0"/>
              <w:bottom w:val="double" w:color="auto" w:sz="6" w:space="0"/>
            </w:tcBorders>
            <w:noWrap w:val="0"/>
            <w:vAlign w:val="center"/>
          </w:tcPr>
          <w:p w14:paraId="283A0984">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规格型号</w:t>
            </w:r>
          </w:p>
        </w:tc>
        <w:tc>
          <w:tcPr>
            <w:tcW w:w="539" w:type="pct"/>
            <w:tcBorders>
              <w:top w:val="single" w:color="auto" w:sz="12" w:space="0"/>
              <w:bottom w:val="double" w:color="auto" w:sz="6" w:space="0"/>
            </w:tcBorders>
            <w:noWrap w:val="0"/>
            <w:vAlign w:val="center"/>
          </w:tcPr>
          <w:p w14:paraId="74117E96">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448" w:type="pct"/>
            <w:tcBorders>
              <w:top w:val="single" w:color="auto" w:sz="12" w:space="0"/>
              <w:bottom w:val="double" w:color="auto" w:sz="6" w:space="0"/>
            </w:tcBorders>
            <w:noWrap w:val="0"/>
            <w:vAlign w:val="center"/>
          </w:tcPr>
          <w:p w14:paraId="0C49FA40">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产地</w:t>
            </w:r>
          </w:p>
        </w:tc>
        <w:tc>
          <w:tcPr>
            <w:tcW w:w="519" w:type="pct"/>
            <w:tcBorders>
              <w:top w:val="single" w:color="auto" w:sz="12" w:space="0"/>
              <w:bottom w:val="double" w:color="auto" w:sz="6" w:space="0"/>
            </w:tcBorders>
            <w:noWrap w:val="0"/>
            <w:vAlign w:val="center"/>
          </w:tcPr>
          <w:p w14:paraId="074584D9">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制造年份</w:t>
            </w:r>
          </w:p>
        </w:tc>
        <w:tc>
          <w:tcPr>
            <w:tcW w:w="754" w:type="pct"/>
            <w:tcBorders>
              <w:top w:val="single" w:color="auto" w:sz="12" w:space="0"/>
              <w:bottom w:val="double" w:color="auto" w:sz="6" w:space="0"/>
            </w:tcBorders>
            <w:noWrap w:val="0"/>
            <w:vAlign w:val="center"/>
          </w:tcPr>
          <w:p w14:paraId="48515829">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额定功率(kW)</w:t>
            </w:r>
          </w:p>
        </w:tc>
        <w:tc>
          <w:tcPr>
            <w:tcW w:w="519" w:type="pct"/>
            <w:tcBorders>
              <w:top w:val="single" w:color="auto" w:sz="12" w:space="0"/>
              <w:bottom w:val="double" w:color="auto" w:sz="6" w:space="0"/>
            </w:tcBorders>
            <w:noWrap w:val="0"/>
            <w:vAlign w:val="center"/>
          </w:tcPr>
          <w:p w14:paraId="3E8D3E8E">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生产能力</w:t>
            </w:r>
          </w:p>
        </w:tc>
        <w:tc>
          <w:tcPr>
            <w:tcW w:w="469" w:type="pct"/>
            <w:tcBorders>
              <w:top w:val="single" w:color="auto" w:sz="12" w:space="0"/>
              <w:bottom w:val="double" w:color="auto" w:sz="6" w:space="0"/>
            </w:tcBorders>
            <w:noWrap w:val="0"/>
            <w:vAlign w:val="center"/>
          </w:tcPr>
          <w:p w14:paraId="23239025">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476877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Borders>
              <w:top w:val="double" w:color="auto" w:sz="6" w:space="0"/>
              <w:bottom w:val="single" w:color="auto" w:sz="6" w:space="0"/>
            </w:tcBorders>
            <w:noWrap w:val="0"/>
            <w:vAlign w:val="center"/>
          </w:tcPr>
          <w:p w14:paraId="79547A1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tcBorders>
              <w:top w:val="double" w:color="auto" w:sz="6" w:space="0"/>
              <w:bottom w:val="single" w:color="auto" w:sz="6" w:space="0"/>
            </w:tcBorders>
            <w:noWrap w:val="0"/>
            <w:vAlign w:val="center"/>
          </w:tcPr>
          <w:p w14:paraId="5C723CB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3" w:type="pct"/>
            <w:tcBorders>
              <w:top w:val="double" w:color="auto" w:sz="6" w:space="0"/>
              <w:bottom w:val="single" w:color="auto" w:sz="6" w:space="0"/>
            </w:tcBorders>
            <w:noWrap w:val="0"/>
            <w:vAlign w:val="center"/>
          </w:tcPr>
          <w:p w14:paraId="7B87E96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39" w:type="pct"/>
            <w:tcBorders>
              <w:top w:val="double" w:color="auto" w:sz="6" w:space="0"/>
              <w:bottom w:val="single" w:color="auto" w:sz="6" w:space="0"/>
            </w:tcBorders>
            <w:noWrap w:val="0"/>
            <w:vAlign w:val="center"/>
          </w:tcPr>
          <w:p w14:paraId="049B096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48" w:type="pct"/>
            <w:tcBorders>
              <w:top w:val="double" w:color="auto" w:sz="6" w:space="0"/>
              <w:bottom w:val="single" w:color="auto" w:sz="6" w:space="0"/>
            </w:tcBorders>
            <w:noWrap w:val="0"/>
            <w:vAlign w:val="center"/>
          </w:tcPr>
          <w:p w14:paraId="2A376F7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tcBorders>
              <w:top w:val="double" w:color="auto" w:sz="6" w:space="0"/>
              <w:bottom w:val="single" w:color="auto" w:sz="6" w:space="0"/>
            </w:tcBorders>
            <w:noWrap w:val="0"/>
            <w:vAlign w:val="center"/>
          </w:tcPr>
          <w:p w14:paraId="0E9B036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54" w:type="pct"/>
            <w:tcBorders>
              <w:top w:val="double" w:color="auto" w:sz="6" w:space="0"/>
              <w:bottom w:val="single" w:color="auto" w:sz="6" w:space="0"/>
            </w:tcBorders>
            <w:noWrap w:val="0"/>
            <w:vAlign w:val="center"/>
          </w:tcPr>
          <w:p w14:paraId="364A217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tcBorders>
              <w:top w:val="double" w:color="auto" w:sz="6" w:space="0"/>
              <w:bottom w:val="single" w:color="auto" w:sz="6" w:space="0"/>
            </w:tcBorders>
            <w:noWrap w:val="0"/>
            <w:vAlign w:val="center"/>
          </w:tcPr>
          <w:p w14:paraId="00D5D49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9" w:type="pct"/>
            <w:tcBorders>
              <w:top w:val="double" w:color="auto" w:sz="6" w:space="0"/>
              <w:bottom w:val="single" w:color="auto" w:sz="6" w:space="0"/>
            </w:tcBorders>
            <w:noWrap w:val="0"/>
            <w:vAlign w:val="center"/>
          </w:tcPr>
          <w:p w14:paraId="539F415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52F57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Borders>
              <w:top w:val="nil"/>
            </w:tcBorders>
            <w:noWrap w:val="0"/>
            <w:vAlign w:val="center"/>
          </w:tcPr>
          <w:p w14:paraId="1626756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tcBorders>
              <w:top w:val="nil"/>
            </w:tcBorders>
            <w:noWrap w:val="0"/>
            <w:vAlign w:val="center"/>
          </w:tcPr>
          <w:p w14:paraId="3FD223D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3" w:type="pct"/>
            <w:tcBorders>
              <w:top w:val="nil"/>
            </w:tcBorders>
            <w:noWrap w:val="0"/>
            <w:vAlign w:val="center"/>
          </w:tcPr>
          <w:p w14:paraId="2DC8D04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39" w:type="pct"/>
            <w:tcBorders>
              <w:top w:val="nil"/>
            </w:tcBorders>
            <w:noWrap w:val="0"/>
            <w:vAlign w:val="center"/>
          </w:tcPr>
          <w:p w14:paraId="2D88D90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48" w:type="pct"/>
            <w:tcBorders>
              <w:top w:val="nil"/>
            </w:tcBorders>
            <w:noWrap w:val="0"/>
            <w:vAlign w:val="center"/>
          </w:tcPr>
          <w:p w14:paraId="5AC6F2D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tcBorders>
              <w:top w:val="nil"/>
            </w:tcBorders>
            <w:noWrap w:val="0"/>
            <w:vAlign w:val="center"/>
          </w:tcPr>
          <w:p w14:paraId="0A701FE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54" w:type="pct"/>
            <w:tcBorders>
              <w:top w:val="nil"/>
            </w:tcBorders>
            <w:noWrap w:val="0"/>
            <w:vAlign w:val="center"/>
          </w:tcPr>
          <w:p w14:paraId="4333500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tcBorders>
              <w:top w:val="nil"/>
            </w:tcBorders>
            <w:noWrap w:val="0"/>
            <w:vAlign w:val="center"/>
          </w:tcPr>
          <w:p w14:paraId="7697E0A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9" w:type="pct"/>
            <w:tcBorders>
              <w:top w:val="nil"/>
            </w:tcBorders>
            <w:noWrap w:val="0"/>
            <w:vAlign w:val="center"/>
          </w:tcPr>
          <w:p w14:paraId="346F9002">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7AE0E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089590C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347E597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3" w:type="pct"/>
            <w:noWrap w:val="0"/>
            <w:vAlign w:val="center"/>
          </w:tcPr>
          <w:p w14:paraId="21FB328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39" w:type="pct"/>
            <w:noWrap w:val="0"/>
            <w:vAlign w:val="center"/>
          </w:tcPr>
          <w:p w14:paraId="768C8E6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48" w:type="pct"/>
            <w:noWrap w:val="0"/>
            <w:vAlign w:val="center"/>
          </w:tcPr>
          <w:p w14:paraId="0CA322F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4453A2A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54" w:type="pct"/>
            <w:noWrap w:val="0"/>
            <w:vAlign w:val="center"/>
          </w:tcPr>
          <w:p w14:paraId="51C90B4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6DA8F04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9" w:type="pct"/>
            <w:noWrap w:val="0"/>
            <w:vAlign w:val="center"/>
          </w:tcPr>
          <w:p w14:paraId="66C162F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84811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31E6AFF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3979C9F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3" w:type="pct"/>
            <w:noWrap w:val="0"/>
            <w:vAlign w:val="center"/>
          </w:tcPr>
          <w:p w14:paraId="51253E1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39" w:type="pct"/>
            <w:noWrap w:val="0"/>
            <w:vAlign w:val="center"/>
          </w:tcPr>
          <w:p w14:paraId="779208D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48" w:type="pct"/>
            <w:noWrap w:val="0"/>
            <w:vAlign w:val="center"/>
          </w:tcPr>
          <w:p w14:paraId="3932CF8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051817D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54" w:type="pct"/>
            <w:noWrap w:val="0"/>
            <w:vAlign w:val="center"/>
          </w:tcPr>
          <w:p w14:paraId="216809E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0177B36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9" w:type="pct"/>
            <w:noWrap w:val="0"/>
            <w:vAlign w:val="center"/>
          </w:tcPr>
          <w:p w14:paraId="1348DCDB">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BC31A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29B250B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50EB84B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3" w:type="pct"/>
            <w:noWrap w:val="0"/>
            <w:vAlign w:val="center"/>
          </w:tcPr>
          <w:p w14:paraId="76DACCC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39" w:type="pct"/>
            <w:noWrap w:val="0"/>
            <w:vAlign w:val="center"/>
          </w:tcPr>
          <w:p w14:paraId="78F6CFB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48" w:type="pct"/>
            <w:noWrap w:val="0"/>
            <w:vAlign w:val="center"/>
          </w:tcPr>
          <w:p w14:paraId="11C329A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70DA7C3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54" w:type="pct"/>
            <w:noWrap w:val="0"/>
            <w:vAlign w:val="center"/>
          </w:tcPr>
          <w:p w14:paraId="1162211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04099F3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9" w:type="pct"/>
            <w:noWrap w:val="0"/>
            <w:vAlign w:val="center"/>
          </w:tcPr>
          <w:p w14:paraId="064C980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F2F3E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651F79F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47F556B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3" w:type="pct"/>
            <w:noWrap w:val="0"/>
            <w:vAlign w:val="center"/>
          </w:tcPr>
          <w:p w14:paraId="4B97EA3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39" w:type="pct"/>
            <w:noWrap w:val="0"/>
            <w:vAlign w:val="center"/>
          </w:tcPr>
          <w:p w14:paraId="12D6303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48" w:type="pct"/>
            <w:noWrap w:val="0"/>
            <w:vAlign w:val="center"/>
          </w:tcPr>
          <w:p w14:paraId="0509567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5F4F575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54" w:type="pct"/>
            <w:noWrap w:val="0"/>
            <w:vAlign w:val="center"/>
          </w:tcPr>
          <w:p w14:paraId="5BA0049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769115B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9" w:type="pct"/>
            <w:noWrap w:val="0"/>
            <w:vAlign w:val="center"/>
          </w:tcPr>
          <w:p w14:paraId="4AB8C00B">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03645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080D59C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2BB5A73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3" w:type="pct"/>
            <w:noWrap w:val="0"/>
            <w:vAlign w:val="center"/>
          </w:tcPr>
          <w:p w14:paraId="15D39DC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39" w:type="pct"/>
            <w:noWrap w:val="0"/>
            <w:vAlign w:val="center"/>
          </w:tcPr>
          <w:p w14:paraId="04E5C2C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48" w:type="pct"/>
            <w:noWrap w:val="0"/>
            <w:vAlign w:val="center"/>
          </w:tcPr>
          <w:p w14:paraId="7CC4DBE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764DD59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54" w:type="pct"/>
            <w:noWrap w:val="0"/>
            <w:vAlign w:val="center"/>
          </w:tcPr>
          <w:p w14:paraId="31BC7F8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5ACF5B1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9" w:type="pct"/>
            <w:noWrap w:val="0"/>
            <w:vAlign w:val="center"/>
          </w:tcPr>
          <w:p w14:paraId="46C474D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B7894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4EEEC86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0C53F95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3" w:type="pct"/>
            <w:noWrap w:val="0"/>
            <w:vAlign w:val="center"/>
          </w:tcPr>
          <w:p w14:paraId="483C67A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39" w:type="pct"/>
            <w:noWrap w:val="0"/>
            <w:vAlign w:val="center"/>
          </w:tcPr>
          <w:p w14:paraId="60A4FF9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48" w:type="pct"/>
            <w:noWrap w:val="0"/>
            <w:vAlign w:val="center"/>
          </w:tcPr>
          <w:p w14:paraId="16484D5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2D81C3B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54" w:type="pct"/>
            <w:noWrap w:val="0"/>
            <w:vAlign w:val="center"/>
          </w:tcPr>
          <w:p w14:paraId="07CCE6E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33E4316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9" w:type="pct"/>
            <w:noWrap w:val="0"/>
            <w:vAlign w:val="center"/>
          </w:tcPr>
          <w:p w14:paraId="6A69D57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17253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252A9F93">
            <w:pPr>
              <w:spacing w:line="360" w:lineRule="auto"/>
              <w:rPr>
                <w:rFonts w:hint="eastAsia" w:ascii="宋体" w:hAnsi="宋体" w:eastAsia="宋体" w:cs="宋体"/>
                <w:color w:val="000000"/>
                <w:sz w:val="24"/>
                <w:szCs w:val="24"/>
              </w:rPr>
            </w:pPr>
          </w:p>
        </w:tc>
        <w:tc>
          <w:tcPr>
            <w:tcW w:w="722" w:type="pct"/>
            <w:noWrap w:val="0"/>
            <w:vAlign w:val="top"/>
          </w:tcPr>
          <w:p w14:paraId="7DD7C96D">
            <w:pPr>
              <w:spacing w:line="360" w:lineRule="auto"/>
              <w:rPr>
                <w:rFonts w:hint="eastAsia" w:ascii="宋体" w:hAnsi="宋体" w:eastAsia="宋体" w:cs="宋体"/>
                <w:color w:val="000000"/>
                <w:sz w:val="24"/>
                <w:szCs w:val="24"/>
              </w:rPr>
            </w:pPr>
          </w:p>
        </w:tc>
        <w:tc>
          <w:tcPr>
            <w:tcW w:w="433" w:type="pct"/>
            <w:noWrap w:val="0"/>
            <w:vAlign w:val="top"/>
          </w:tcPr>
          <w:p w14:paraId="20BA8E93">
            <w:pPr>
              <w:spacing w:line="360" w:lineRule="auto"/>
              <w:rPr>
                <w:rFonts w:hint="eastAsia" w:ascii="宋体" w:hAnsi="宋体" w:eastAsia="宋体" w:cs="宋体"/>
                <w:color w:val="000000"/>
                <w:sz w:val="24"/>
                <w:szCs w:val="24"/>
              </w:rPr>
            </w:pPr>
          </w:p>
        </w:tc>
        <w:tc>
          <w:tcPr>
            <w:tcW w:w="539" w:type="pct"/>
            <w:noWrap w:val="0"/>
            <w:vAlign w:val="top"/>
          </w:tcPr>
          <w:p w14:paraId="7700D505">
            <w:pPr>
              <w:spacing w:line="360" w:lineRule="auto"/>
              <w:rPr>
                <w:rFonts w:hint="eastAsia" w:ascii="宋体" w:hAnsi="宋体" w:eastAsia="宋体" w:cs="宋体"/>
                <w:color w:val="000000"/>
                <w:sz w:val="24"/>
                <w:szCs w:val="24"/>
              </w:rPr>
            </w:pPr>
          </w:p>
        </w:tc>
        <w:tc>
          <w:tcPr>
            <w:tcW w:w="448" w:type="pct"/>
            <w:noWrap w:val="0"/>
            <w:vAlign w:val="top"/>
          </w:tcPr>
          <w:p w14:paraId="7C87E214">
            <w:pPr>
              <w:spacing w:line="360" w:lineRule="auto"/>
              <w:rPr>
                <w:rFonts w:hint="eastAsia" w:ascii="宋体" w:hAnsi="宋体" w:eastAsia="宋体" w:cs="宋体"/>
                <w:color w:val="000000"/>
                <w:sz w:val="24"/>
                <w:szCs w:val="24"/>
              </w:rPr>
            </w:pPr>
          </w:p>
        </w:tc>
        <w:tc>
          <w:tcPr>
            <w:tcW w:w="519" w:type="pct"/>
            <w:noWrap w:val="0"/>
            <w:vAlign w:val="top"/>
          </w:tcPr>
          <w:p w14:paraId="3AB511A8">
            <w:pPr>
              <w:spacing w:line="360" w:lineRule="auto"/>
              <w:rPr>
                <w:rFonts w:hint="eastAsia" w:ascii="宋体" w:hAnsi="宋体" w:eastAsia="宋体" w:cs="宋体"/>
                <w:color w:val="000000"/>
                <w:sz w:val="24"/>
                <w:szCs w:val="24"/>
              </w:rPr>
            </w:pPr>
          </w:p>
        </w:tc>
        <w:tc>
          <w:tcPr>
            <w:tcW w:w="754" w:type="pct"/>
            <w:noWrap w:val="0"/>
            <w:vAlign w:val="top"/>
          </w:tcPr>
          <w:p w14:paraId="1FD8A7F7">
            <w:pPr>
              <w:spacing w:line="360" w:lineRule="auto"/>
              <w:rPr>
                <w:rFonts w:hint="eastAsia" w:ascii="宋体" w:hAnsi="宋体" w:eastAsia="宋体" w:cs="宋体"/>
                <w:color w:val="000000"/>
                <w:sz w:val="24"/>
                <w:szCs w:val="24"/>
              </w:rPr>
            </w:pPr>
          </w:p>
        </w:tc>
        <w:tc>
          <w:tcPr>
            <w:tcW w:w="519" w:type="pct"/>
            <w:noWrap w:val="0"/>
            <w:vAlign w:val="top"/>
          </w:tcPr>
          <w:p w14:paraId="456201FD">
            <w:pPr>
              <w:spacing w:line="360" w:lineRule="auto"/>
              <w:rPr>
                <w:rFonts w:hint="eastAsia" w:ascii="宋体" w:hAnsi="宋体" w:eastAsia="宋体" w:cs="宋体"/>
                <w:color w:val="000000"/>
                <w:sz w:val="24"/>
                <w:szCs w:val="24"/>
              </w:rPr>
            </w:pPr>
          </w:p>
        </w:tc>
        <w:tc>
          <w:tcPr>
            <w:tcW w:w="469" w:type="pct"/>
            <w:noWrap w:val="0"/>
            <w:vAlign w:val="top"/>
          </w:tcPr>
          <w:p w14:paraId="0118C45C">
            <w:pPr>
              <w:spacing w:line="360" w:lineRule="auto"/>
              <w:rPr>
                <w:rFonts w:hint="eastAsia" w:ascii="宋体" w:hAnsi="宋体" w:eastAsia="宋体" w:cs="宋体"/>
                <w:color w:val="000000"/>
                <w:sz w:val="24"/>
                <w:szCs w:val="24"/>
              </w:rPr>
            </w:pPr>
          </w:p>
        </w:tc>
      </w:tr>
      <w:tr w14:paraId="74A466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7F18B31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15D8452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3" w:type="pct"/>
            <w:noWrap w:val="0"/>
            <w:vAlign w:val="center"/>
          </w:tcPr>
          <w:p w14:paraId="78B35F4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39" w:type="pct"/>
            <w:noWrap w:val="0"/>
            <w:vAlign w:val="center"/>
          </w:tcPr>
          <w:p w14:paraId="357E28B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48" w:type="pct"/>
            <w:noWrap w:val="0"/>
            <w:vAlign w:val="center"/>
          </w:tcPr>
          <w:p w14:paraId="6BFE085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1072806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54" w:type="pct"/>
            <w:noWrap w:val="0"/>
            <w:vAlign w:val="center"/>
          </w:tcPr>
          <w:p w14:paraId="56644C7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445511E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9" w:type="pct"/>
            <w:noWrap w:val="0"/>
            <w:vAlign w:val="center"/>
          </w:tcPr>
          <w:p w14:paraId="4AE09284">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8E060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622AA03E">
            <w:pPr>
              <w:spacing w:line="360" w:lineRule="auto"/>
              <w:rPr>
                <w:rFonts w:hint="eastAsia" w:ascii="宋体" w:hAnsi="宋体" w:eastAsia="宋体" w:cs="宋体"/>
                <w:color w:val="000000"/>
                <w:sz w:val="24"/>
                <w:szCs w:val="24"/>
              </w:rPr>
            </w:pPr>
          </w:p>
        </w:tc>
        <w:tc>
          <w:tcPr>
            <w:tcW w:w="722" w:type="pct"/>
            <w:noWrap w:val="0"/>
            <w:vAlign w:val="top"/>
          </w:tcPr>
          <w:p w14:paraId="28112036">
            <w:pPr>
              <w:spacing w:line="360" w:lineRule="auto"/>
              <w:rPr>
                <w:rFonts w:hint="eastAsia" w:ascii="宋体" w:hAnsi="宋体" w:eastAsia="宋体" w:cs="宋体"/>
                <w:color w:val="000000"/>
                <w:sz w:val="24"/>
                <w:szCs w:val="24"/>
              </w:rPr>
            </w:pPr>
          </w:p>
        </w:tc>
        <w:tc>
          <w:tcPr>
            <w:tcW w:w="433" w:type="pct"/>
            <w:noWrap w:val="0"/>
            <w:vAlign w:val="top"/>
          </w:tcPr>
          <w:p w14:paraId="1469032C">
            <w:pPr>
              <w:spacing w:line="360" w:lineRule="auto"/>
              <w:rPr>
                <w:rFonts w:hint="eastAsia" w:ascii="宋体" w:hAnsi="宋体" w:eastAsia="宋体" w:cs="宋体"/>
                <w:color w:val="000000"/>
                <w:sz w:val="24"/>
                <w:szCs w:val="24"/>
              </w:rPr>
            </w:pPr>
          </w:p>
        </w:tc>
        <w:tc>
          <w:tcPr>
            <w:tcW w:w="539" w:type="pct"/>
            <w:noWrap w:val="0"/>
            <w:vAlign w:val="top"/>
          </w:tcPr>
          <w:p w14:paraId="6806F394">
            <w:pPr>
              <w:spacing w:line="360" w:lineRule="auto"/>
              <w:rPr>
                <w:rFonts w:hint="eastAsia" w:ascii="宋体" w:hAnsi="宋体" w:eastAsia="宋体" w:cs="宋体"/>
                <w:color w:val="000000"/>
                <w:sz w:val="24"/>
                <w:szCs w:val="24"/>
              </w:rPr>
            </w:pPr>
          </w:p>
        </w:tc>
        <w:tc>
          <w:tcPr>
            <w:tcW w:w="448" w:type="pct"/>
            <w:noWrap w:val="0"/>
            <w:vAlign w:val="top"/>
          </w:tcPr>
          <w:p w14:paraId="50A546AE">
            <w:pPr>
              <w:spacing w:line="360" w:lineRule="auto"/>
              <w:rPr>
                <w:rFonts w:hint="eastAsia" w:ascii="宋体" w:hAnsi="宋体" w:eastAsia="宋体" w:cs="宋体"/>
                <w:color w:val="000000"/>
                <w:sz w:val="24"/>
                <w:szCs w:val="24"/>
              </w:rPr>
            </w:pPr>
          </w:p>
        </w:tc>
        <w:tc>
          <w:tcPr>
            <w:tcW w:w="519" w:type="pct"/>
            <w:noWrap w:val="0"/>
            <w:vAlign w:val="top"/>
          </w:tcPr>
          <w:p w14:paraId="2FECDAD7">
            <w:pPr>
              <w:spacing w:line="360" w:lineRule="auto"/>
              <w:rPr>
                <w:rFonts w:hint="eastAsia" w:ascii="宋体" w:hAnsi="宋体" w:eastAsia="宋体" w:cs="宋体"/>
                <w:color w:val="000000"/>
                <w:sz w:val="24"/>
                <w:szCs w:val="24"/>
              </w:rPr>
            </w:pPr>
          </w:p>
        </w:tc>
        <w:tc>
          <w:tcPr>
            <w:tcW w:w="754" w:type="pct"/>
            <w:noWrap w:val="0"/>
            <w:vAlign w:val="top"/>
          </w:tcPr>
          <w:p w14:paraId="41164920">
            <w:pPr>
              <w:spacing w:line="360" w:lineRule="auto"/>
              <w:rPr>
                <w:rFonts w:hint="eastAsia" w:ascii="宋体" w:hAnsi="宋体" w:eastAsia="宋体" w:cs="宋体"/>
                <w:color w:val="000000"/>
                <w:sz w:val="24"/>
                <w:szCs w:val="24"/>
              </w:rPr>
            </w:pPr>
          </w:p>
        </w:tc>
        <w:tc>
          <w:tcPr>
            <w:tcW w:w="519" w:type="pct"/>
            <w:noWrap w:val="0"/>
            <w:vAlign w:val="top"/>
          </w:tcPr>
          <w:p w14:paraId="29EA3E58">
            <w:pPr>
              <w:spacing w:line="360" w:lineRule="auto"/>
              <w:rPr>
                <w:rFonts w:hint="eastAsia" w:ascii="宋体" w:hAnsi="宋体" w:eastAsia="宋体" w:cs="宋体"/>
                <w:color w:val="000000"/>
                <w:sz w:val="24"/>
                <w:szCs w:val="24"/>
              </w:rPr>
            </w:pPr>
          </w:p>
        </w:tc>
        <w:tc>
          <w:tcPr>
            <w:tcW w:w="469" w:type="pct"/>
            <w:noWrap w:val="0"/>
            <w:vAlign w:val="top"/>
          </w:tcPr>
          <w:p w14:paraId="69CC04FF">
            <w:pPr>
              <w:spacing w:line="360" w:lineRule="auto"/>
              <w:rPr>
                <w:rFonts w:hint="eastAsia" w:ascii="宋体" w:hAnsi="宋体" w:eastAsia="宋体" w:cs="宋体"/>
                <w:color w:val="000000"/>
                <w:sz w:val="24"/>
                <w:szCs w:val="24"/>
              </w:rPr>
            </w:pPr>
          </w:p>
        </w:tc>
      </w:tr>
      <w:tr w14:paraId="250ABD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5636BD88">
            <w:pPr>
              <w:spacing w:line="360" w:lineRule="auto"/>
              <w:rPr>
                <w:rFonts w:hint="eastAsia" w:ascii="宋体" w:hAnsi="宋体" w:eastAsia="宋体" w:cs="宋体"/>
                <w:color w:val="000000"/>
                <w:sz w:val="24"/>
                <w:szCs w:val="24"/>
              </w:rPr>
            </w:pPr>
          </w:p>
        </w:tc>
        <w:tc>
          <w:tcPr>
            <w:tcW w:w="722" w:type="pct"/>
            <w:noWrap w:val="0"/>
            <w:vAlign w:val="top"/>
          </w:tcPr>
          <w:p w14:paraId="1096C319">
            <w:pPr>
              <w:spacing w:line="360" w:lineRule="auto"/>
              <w:rPr>
                <w:rFonts w:hint="eastAsia" w:ascii="宋体" w:hAnsi="宋体" w:eastAsia="宋体" w:cs="宋体"/>
                <w:color w:val="000000"/>
                <w:sz w:val="24"/>
                <w:szCs w:val="24"/>
              </w:rPr>
            </w:pPr>
          </w:p>
        </w:tc>
        <w:tc>
          <w:tcPr>
            <w:tcW w:w="433" w:type="pct"/>
            <w:noWrap w:val="0"/>
            <w:vAlign w:val="top"/>
          </w:tcPr>
          <w:p w14:paraId="53D72E08">
            <w:pPr>
              <w:spacing w:line="360" w:lineRule="auto"/>
              <w:rPr>
                <w:rFonts w:hint="eastAsia" w:ascii="宋体" w:hAnsi="宋体" w:eastAsia="宋体" w:cs="宋体"/>
                <w:color w:val="000000"/>
                <w:sz w:val="24"/>
                <w:szCs w:val="24"/>
              </w:rPr>
            </w:pPr>
          </w:p>
        </w:tc>
        <w:tc>
          <w:tcPr>
            <w:tcW w:w="539" w:type="pct"/>
            <w:noWrap w:val="0"/>
            <w:vAlign w:val="top"/>
          </w:tcPr>
          <w:p w14:paraId="7EA08860">
            <w:pPr>
              <w:spacing w:line="360" w:lineRule="auto"/>
              <w:rPr>
                <w:rFonts w:hint="eastAsia" w:ascii="宋体" w:hAnsi="宋体" w:eastAsia="宋体" w:cs="宋体"/>
                <w:color w:val="000000"/>
                <w:sz w:val="24"/>
                <w:szCs w:val="24"/>
              </w:rPr>
            </w:pPr>
          </w:p>
        </w:tc>
        <w:tc>
          <w:tcPr>
            <w:tcW w:w="448" w:type="pct"/>
            <w:noWrap w:val="0"/>
            <w:vAlign w:val="top"/>
          </w:tcPr>
          <w:p w14:paraId="0E95EE5D">
            <w:pPr>
              <w:spacing w:line="360" w:lineRule="auto"/>
              <w:rPr>
                <w:rFonts w:hint="eastAsia" w:ascii="宋体" w:hAnsi="宋体" w:eastAsia="宋体" w:cs="宋体"/>
                <w:color w:val="000000"/>
                <w:sz w:val="24"/>
                <w:szCs w:val="24"/>
              </w:rPr>
            </w:pPr>
          </w:p>
        </w:tc>
        <w:tc>
          <w:tcPr>
            <w:tcW w:w="519" w:type="pct"/>
            <w:noWrap w:val="0"/>
            <w:vAlign w:val="top"/>
          </w:tcPr>
          <w:p w14:paraId="7F9F7D03">
            <w:pPr>
              <w:spacing w:line="360" w:lineRule="auto"/>
              <w:rPr>
                <w:rFonts w:hint="eastAsia" w:ascii="宋体" w:hAnsi="宋体" w:eastAsia="宋体" w:cs="宋体"/>
                <w:color w:val="000000"/>
                <w:sz w:val="24"/>
                <w:szCs w:val="24"/>
              </w:rPr>
            </w:pPr>
          </w:p>
        </w:tc>
        <w:tc>
          <w:tcPr>
            <w:tcW w:w="754" w:type="pct"/>
            <w:noWrap w:val="0"/>
            <w:vAlign w:val="top"/>
          </w:tcPr>
          <w:p w14:paraId="0B334209">
            <w:pPr>
              <w:spacing w:line="360" w:lineRule="auto"/>
              <w:rPr>
                <w:rFonts w:hint="eastAsia" w:ascii="宋体" w:hAnsi="宋体" w:eastAsia="宋体" w:cs="宋体"/>
                <w:color w:val="000000"/>
                <w:sz w:val="24"/>
                <w:szCs w:val="24"/>
              </w:rPr>
            </w:pPr>
          </w:p>
        </w:tc>
        <w:tc>
          <w:tcPr>
            <w:tcW w:w="519" w:type="pct"/>
            <w:noWrap w:val="0"/>
            <w:vAlign w:val="top"/>
          </w:tcPr>
          <w:p w14:paraId="34881D38">
            <w:pPr>
              <w:spacing w:line="360" w:lineRule="auto"/>
              <w:rPr>
                <w:rFonts w:hint="eastAsia" w:ascii="宋体" w:hAnsi="宋体" w:eastAsia="宋体" w:cs="宋体"/>
                <w:color w:val="000000"/>
                <w:sz w:val="24"/>
                <w:szCs w:val="24"/>
              </w:rPr>
            </w:pPr>
          </w:p>
        </w:tc>
        <w:tc>
          <w:tcPr>
            <w:tcW w:w="469" w:type="pct"/>
            <w:noWrap w:val="0"/>
            <w:vAlign w:val="top"/>
          </w:tcPr>
          <w:p w14:paraId="127CF689">
            <w:pPr>
              <w:spacing w:line="360" w:lineRule="auto"/>
              <w:rPr>
                <w:rFonts w:hint="eastAsia" w:ascii="宋体" w:hAnsi="宋体" w:eastAsia="宋体" w:cs="宋体"/>
                <w:color w:val="000000"/>
                <w:sz w:val="24"/>
                <w:szCs w:val="24"/>
              </w:rPr>
            </w:pPr>
          </w:p>
        </w:tc>
      </w:tr>
      <w:tr w14:paraId="3F9B9D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6967360E">
            <w:pPr>
              <w:spacing w:line="360" w:lineRule="auto"/>
              <w:rPr>
                <w:rFonts w:hint="eastAsia" w:ascii="宋体" w:hAnsi="宋体" w:eastAsia="宋体" w:cs="宋体"/>
                <w:color w:val="000000"/>
                <w:sz w:val="24"/>
                <w:szCs w:val="24"/>
              </w:rPr>
            </w:pPr>
          </w:p>
        </w:tc>
        <w:tc>
          <w:tcPr>
            <w:tcW w:w="722" w:type="pct"/>
            <w:noWrap w:val="0"/>
            <w:vAlign w:val="top"/>
          </w:tcPr>
          <w:p w14:paraId="64458DB4">
            <w:pPr>
              <w:spacing w:line="360" w:lineRule="auto"/>
              <w:rPr>
                <w:rFonts w:hint="eastAsia" w:ascii="宋体" w:hAnsi="宋体" w:eastAsia="宋体" w:cs="宋体"/>
                <w:color w:val="000000"/>
                <w:sz w:val="24"/>
                <w:szCs w:val="24"/>
              </w:rPr>
            </w:pPr>
          </w:p>
        </w:tc>
        <w:tc>
          <w:tcPr>
            <w:tcW w:w="433" w:type="pct"/>
            <w:noWrap w:val="0"/>
            <w:vAlign w:val="top"/>
          </w:tcPr>
          <w:p w14:paraId="2F7CF4E6">
            <w:pPr>
              <w:spacing w:line="360" w:lineRule="auto"/>
              <w:rPr>
                <w:rFonts w:hint="eastAsia" w:ascii="宋体" w:hAnsi="宋体" w:eastAsia="宋体" w:cs="宋体"/>
                <w:color w:val="000000"/>
                <w:sz w:val="24"/>
                <w:szCs w:val="24"/>
              </w:rPr>
            </w:pPr>
          </w:p>
        </w:tc>
        <w:tc>
          <w:tcPr>
            <w:tcW w:w="539" w:type="pct"/>
            <w:noWrap w:val="0"/>
            <w:vAlign w:val="top"/>
          </w:tcPr>
          <w:p w14:paraId="3782EE54">
            <w:pPr>
              <w:spacing w:line="360" w:lineRule="auto"/>
              <w:rPr>
                <w:rFonts w:hint="eastAsia" w:ascii="宋体" w:hAnsi="宋体" w:eastAsia="宋体" w:cs="宋体"/>
                <w:color w:val="000000"/>
                <w:sz w:val="24"/>
                <w:szCs w:val="24"/>
              </w:rPr>
            </w:pPr>
          </w:p>
        </w:tc>
        <w:tc>
          <w:tcPr>
            <w:tcW w:w="448" w:type="pct"/>
            <w:noWrap w:val="0"/>
            <w:vAlign w:val="top"/>
          </w:tcPr>
          <w:p w14:paraId="67CADC0B">
            <w:pPr>
              <w:spacing w:line="360" w:lineRule="auto"/>
              <w:rPr>
                <w:rFonts w:hint="eastAsia" w:ascii="宋体" w:hAnsi="宋体" w:eastAsia="宋体" w:cs="宋体"/>
                <w:color w:val="000000"/>
                <w:sz w:val="24"/>
                <w:szCs w:val="24"/>
              </w:rPr>
            </w:pPr>
          </w:p>
        </w:tc>
        <w:tc>
          <w:tcPr>
            <w:tcW w:w="519" w:type="pct"/>
            <w:noWrap w:val="0"/>
            <w:vAlign w:val="top"/>
          </w:tcPr>
          <w:p w14:paraId="3B44513F">
            <w:pPr>
              <w:spacing w:line="360" w:lineRule="auto"/>
              <w:rPr>
                <w:rFonts w:hint="eastAsia" w:ascii="宋体" w:hAnsi="宋体" w:eastAsia="宋体" w:cs="宋体"/>
                <w:color w:val="000000"/>
                <w:sz w:val="24"/>
                <w:szCs w:val="24"/>
              </w:rPr>
            </w:pPr>
          </w:p>
        </w:tc>
        <w:tc>
          <w:tcPr>
            <w:tcW w:w="754" w:type="pct"/>
            <w:noWrap w:val="0"/>
            <w:vAlign w:val="top"/>
          </w:tcPr>
          <w:p w14:paraId="08D1048F">
            <w:pPr>
              <w:spacing w:line="360" w:lineRule="auto"/>
              <w:rPr>
                <w:rFonts w:hint="eastAsia" w:ascii="宋体" w:hAnsi="宋体" w:eastAsia="宋体" w:cs="宋体"/>
                <w:color w:val="000000"/>
                <w:sz w:val="24"/>
                <w:szCs w:val="24"/>
              </w:rPr>
            </w:pPr>
          </w:p>
        </w:tc>
        <w:tc>
          <w:tcPr>
            <w:tcW w:w="519" w:type="pct"/>
            <w:noWrap w:val="0"/>
            <w:vAlign w:val="top"/>
          </w:tcPr>
          <w:p w14:paraId="71F8D428">
            <w:pPr>
              <w:spacing w:line="360" w:lineRule="auto"/>
              <w:rPr>
                <w:rFonts w:hint="eastAsia" w:ascii="宋体" w:hAnsi="宋体" w:eastAsia="宋体" w:cs="宋体"/>
                <w:color w:val="000000"/>
                <w:sz w:val="24"/>
                <w:szCs w:val="24"/>
              </w:rPr>
            </w:pPr>
          </w:p>
        </w:tc>
        <w:tc>
          <w:tcPr>
            <w:tcW w:w="469" w:type="pct"/>
            <w:noWrap w:val="0"/>
            <w:vAlign w:val="top"/>
          </w:tcPr>
          <w:p w14:paraId="632E7A81">
            <w:pPr>
              <w:spacing w:line="360" w:lineRule="auto"/>
              <w:rPr>
                <w:rFonts w:hint="eastAsia" w:ascii="宋体" w:hAnsi="宋体" w:eastAsia="宋体" w:cs="宋体"/>
                <w:color w:val="000000"/>
                <w:sz w:val="24"/>
                <w:szCs w:val="24"/>
              </w:rPr>
            </w:pPr>
          </w:p>
        </w:tc>
      </w:tr>
      <w:tr w14:paraId="7ED41C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4C29F5E9">
            <w:pPr>
              <w:spacing w:line="360" w:lineRule="auto"/>
              <w:rPr>
                <w:rFonts w:hint="eastAsia" w:ascii="宋体" w:hAnsi="宋体" w:eastAsia="宋体" w:cs="宋体"/>
                <w:color w:val="000000"/>
                <w:sz w:val="24"/>
                <w:szCs w:val="24"/>
              </w:rPr>
            </w:pPr>
          </w:p>
        </w:tc>
        <w:tc>
          <w:tcPr>
            <w:tcW w:w="722" w:type="pct"/>
            <w:noWrap w:val="0"/>
            <w:vAlign w:val="top"/>
          </w:tcPr>
          <w:p w14:paraId="18514FE8">
            <w:pPr>
              <w:spacing w:line="360" w:lineRule="auto"/>
              <w:rPr>
                <w:rFonts w:hint="eastAsia" w:ascii="宋体" w:hAnsi="宋体" w:eastAsia="宋体" w:cs="宋体"/>
                <w:color w:val="000000"/>
                <w:sz w:val="24"/>
                <w:szCs w:val="24"/>
              </w:rPr>
            </w:pPr>
          </w:p>
        </w:tc>
        <w:tc>
          <w:tcPr>
            <w:tcW w:w="433" w:type="pct"/>
            <w:noWrap w:val="0"/>
            <w:vAlign w:val="top"/>
          </w:tcPr>
          <w:p w14:paraId="0E50B57F">
            <w:pPr>
              <w:spacing w:line="360" w:lineRule="auto"/>
              <w:rPr>
                <w:rFonts w:hint="eastAsia" w:ascii="宋体" w:hAnsi="宋体" w:eastAsia="宋体" w:cs="宋体"/>
                <w:color w:val="000000"/>
                <w:sz w:val="24"/>
                <w:szCs w:val="24"/>
              </w:rPr>
            </w:pPr>
          </w:p>
        </w:tc>
        <w:tc>
          <w:tcPr>
            <w:tcW w:w="539" w:type="pct"/>
            <w:noWrap w:val="0"/>
            <w:vAlign w:val="top"/>
          </w:tcPr>
          <w:p w14:paraId="2D2A61BC">
            <w:pPr>
              <w:spacing w:line="360" w:lineRule="auto"/>
              <w:rPr>
                <w:rFonts w:hint="eastAsia" w:ascii="宋体" w:hAnsi="宋体" w:eastAsia="宋体" w:cs="宋体"/>
                <w:color w:val="000000"/>
                <w:sz w:val="24"/>
                <w:szCs w:val="24"/>
              </w:rPr>
            </w:pPr>
          </w:p>
        </w:tc>
        <w:tc>
          <w:tcPr>
            <w:tcW w:w="448" w:type="pct"/>
            <w:noWrap w:val="0"/>
            <w:vAlign w:val="top"/>
          </w:tcPr>
          <w:p w14:paraId="086036CC">
            <w:pPr>
              <w:spacing w:line="360" w:lineRule="auto"/>
              <w:rPr>
                <w:rFonts w:hint="eastAsia" w:ascii="宋体" w:hAnsi="宋体" w:eastAsia="宋体" w:cs="宋体"/>
                <w:color w:val="000000"/>
                <w:sz w:val="24"/>
                <w:szCs w:val="24"/>
              </w:rPr>
            </w:pPr>
          </w:p>
        </w:tc>
        <w:tc>
          <w:tcPr>
            <w:tcW w:w="519" w:type="pct"/>
            <w:noWrap w:val="0"/>
            <w:vAlign w:val="top"/>
          </w:tcPr>
          <w:p w14:paraId="0DBE7CAB">
            <w:pPr>
              <w:spacing w:line="360" w:lineRule="auto"/>
              <w:rPr>
                <w:rFonts w:hint="eastAsia" w:ascii="宋体" w:hAnsi="宋体" w:eastAsia="宋体" w:cs="宋体"/>
                <w:color w:val="000000"/>
                <w:sz w:val="24"/>
                <w:szCs w:val="24"/>
              </w:rPr>
            </w:pPr>
          </w:p>
        </w:tc>
        <w:tc>
          <w:tcPr>
            <w:tcW w:w="754" w:type="pct"/>
            <w:noWrap w:val="0"/>
            <w:vAlign w:val="top"/>
          </w:tcPr>
          <w:p w14:paraId="3877C95C">
            <w:pPr>
              <w:spacing w:line="360" w:lineRule="auto"/>
              <w:rPr>
                <w:rFonts w:hint="eastAsia" w:ascii="宋体" w:hAnsi="宋体" w:eastAsia="宋体" w:cs="宋体"/>
                <w:color w:val="000000"/>
                <w:sz w:val="24"/>
                <w:szCs w:val="24"/>
              </w:rPr>
            </w:pPr>
          </w:p>
        </w:tc>
        <w:tc>
          <w:tcPr>
            <w:tcW w:w="519" w:type="pct"/>
            <w:noWrap w:val="0"/>
            <w:vAlign w:val="top"/>
          </w:tcPr>
          <w:p w14:paraId="5E3C7798">
            <w:pPr>
              <w:spacing w:line="360" w:lineRule="auto"/>
              <w:rPr>
                <w:rFonts w:hint="eastAsia" w:ascii="宋体" w:hAnsi="宋体" w:eastAsia="宋体" w:cs="宋体"/>
                <w:color w:val="000000"/>
                <w:sz w:val="24"/>
                <w:szCs w:val="24"/>
              </w:rPr>
            </w:pPr>
          </w:p>
        </w:tc>
        <w:tc>
          <w:tcPr>
            <w:tcW w:w="469" w:type="pct"/>
            <w:noWrap w:val="0"/>
            <w:vAlign w:val="top"/>
          </w:tcPr>
          <w:p w14:paraId="510A7A3B">
            <w:pPr>
              <w:spacing w:line="360" w:lineRule="auto"/>
              <w:rPr>
                <w:rFonts w:hint="eastAsia" w:ascii="宋体" w:hAnsi="宋体" w:eastAsia="宋体" w:cs="宋体"/>
                <w:color w:val="000000"/>
                <w:sz w:val="24"/>
                <w:szCs w:val="24"/>
              </w:rPr>
            </w:pPr>
          </w:p>
        </w:tc>
      </w:tr>
      <w:tr w14:paraId="191B79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1338766F">
            <w:pPr>
              <w:spacing w:line="360" w:lineRule="auto"/>
              <w:rPr>
                <w:rFonts w:hint="eastAsia" w:ascii="宋体" w:hAnsi="宋体" w:eastAsia="宋体" w:cs="宋体"/>
                <w:color w:val="000000"/>
                <w:sz w:val="24"/>
                <w:szCs w:val="24"/>
              </w:rPr>
            </w:pPr>
          </w:p>
        </w:tc>
        <w:tc>
          <w:tcPr>
            <w:tcW w:w="722" w:type="pct"/>
            <w:noWrap w:val="0"/>
            <w:vAlign w:val="top"/>
          </w:tcPr>
          <w:p w14:paraId="63C8D0B4">
            <w:pPr>
              <w:spacing w:line="360" w:lineRule="auto"/>
              <w:rPr>
                <w:rFonts w:hint="eastAsia" w:ascii="宋体" w:hAnsi="宋体" w:eastAsia="宋体" w:cs="宋体"/>
                <w:color w:val="000000"/>
                <w:sz w:val="24"/>
                <w:szCs w:val="24"/>
              </w:rPr>
            </w:pPr>
          </w:p>
        </w:tc>
        <w:tc>
          <w:tcPr>
            <w:tcW w:w="433" w:type="pct"/>
            <w:noWrap w:val="0"/>
            <w:vAlign w:val="top"/>
          </w:tcPr>
          <w:p w14:paraId="7139730B">
            <w:pPr>
              <w:spacing w:line="360" w:lineRule="auto"/>
              <w:rPr>
                <w:rFonts w:hint="eastAsia" w:ascii="宋体" w:hAnsi="宋体" w:eastAsia="宋体" w:cs="宋体"/>
                <w:color w:val="000000"/>
                <w:sz w:val="24"/>
                <w:szCs w:val="24"/>
              </w:rPr>
            </w:pPr>
          </w:p>
        </w:tc>
        <w:tc>
          <w:tcPr>
            <w:tcW w:w="539" w:type="pct"/>
            <w:noWrap w:val="0"/>
            <w:vAlign w:val="top"/>
          </w:tcPr>
          <w:p w14:paraId="43F96338">
            <w:pPr>
              <w:spacing w:line="360" w:lineRule="auto"/>
              <w:rPr>
                <w:rFonts w:hint="eastAsia" w:ascii="宋体" w:hAnsi="宋体" w:eastAsia="宋体" w:cs="宋体"/>
                <w:color w:val="000000"/>
                <w:sz w:val="24"/>
                <w:szCs w:val="24"/>
              </w:rPr>
            </w:pPr>
          </w:p>
        </w:tc>
        <w:tc>
          <w:tcPr>
            <w:tcW w:w="448" w:type="pct"/>
            <w:noWrap w:val="0"/>
            <w:vAlign w:val="top"/>
          </w:tcPr>
          <w:p w14:paraId="1D50487C">
            <w:pPr>
              <w:spacing w:line="360" w:lineRule="auto"/>
              <w:rPr>
                <w:rFonts w:hint="eastAsia" w:ascii="宋体" w:hAnsi="宋体" w:eastAsia="宋体" w:cs="宋体"/>
                <w:color w:val="000000"/>
                <w:sz w:val="24"/>
                <w:szCs w:val="24"/>
              </w:rPr>
            </w:pPr>
          </w:p>
        </w:tc>
        <w:tc>
          <w:tcPr>
            <w:tcW w:w="519" w:type="pct"/>
            <w:noWrap w:val="0"/>
            <w:vAlign w:val="top"/>
          </w:tcPr>
          <w:p w14:paraId="304B6A2C">
            <w:pPr>
              <w:spacing w:line="360" w:lineRule="auto"/>
              <w:rPr>
                <w:rFonts w:hint="eastAsia" w:ascii="宋体" w:hAnsi="宋体" w:eastAsia="宋体" w:cs="宋体"/>
                <w:color w:val="000000"/>
                <w:sz w:val="24"/>
                <w:szCs w:val="24"/>
              </w:rPr>
            </w:pPr>
          </w:p>
        </w:tc>
        <w:tc>
          <w:tcPr>
            <w:tcW w:w="754" w:type="pct"/>
            <w:noWrap w:val="0"/>
            <w:vAlign w:val="top"/>
          </w:tcPr>
          <w:p w14:paraId="72E42A83">
            <w:pPr>
              <w:spacing w:line="360" w:lineRule="auto"/>
              <w:rPr>
                <w:rFonts w:hint="eastAsia" w:ascii="宋体" w:hAnsi="宋体" w:eastAsia="宋体" w:cs="宋体"/>
                <w:color w:val="000000"/>
                <w:sz w:val="24"/>
                <w:szCs w:val="24"/>
              </w:rPr>
            </w:pPr>
          </w:p>
        </w:tc>
        <w:tc>
          <w:tcPr>
            <w:tcW w:w="519" w:type="pct"/>
            <w:noWrap w:val="0"/>
            <w:vAlign w:val="top"/>
          </w:tcPr>
          <w:p w14:paraId="1A07D23C">
            <w:pPr>
              <w:spacing w:line="360" w:lineRule="auto"/>
              <w:rPr>
                <w:rFonts w:hint="eastAsia" w:ascii="宋体" w:hAnsi="宋体" w:eastAsia="宋体" w:cs="宋体"/>
                <w:color w:val="000000"/>
                <w:sz w:val="24"/>
                <w:szCs w:val="24"/>
              </w:rPr>
            </w:pPr>
          </w:p>
        </w:tc>
        <w:tc>
          <w:tcPr>
            <w:tcW w:w="469" w:type="pct"/>
            <w:noWrap w:val="0"/>
            <w:vAlign w:val="top"/>
          </w:tcPr>
          <w:p w14:paraId="5D8E179D">
            <w:pPr>
              <w:spacing w:line="360" w:lineRule="auto"/>
              <w:rPr>
                <w:rFonts w:hint="eastAsia" w:ascii="宋体" w:hAnsi="宋体" w:eastAsia="宋体" w:cs="宋体"/>
                <w:color w:val="000000"/>
                <w:sz w:val="24"/>
                <w:szCs w:val="24"/>
              </w:rPr>
            </w:pPr>
          </w:p>
        </w:tc>
      </w:tr>
      <w:tr w14:paraId="563228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01E61B8C">
            <w:pPr>
              <w:spacing w:line="360" w:lineRule="auto"/>
              <w:rPr>
                <w:rFonts w:hint="eastAsia" w:ascii="宋体" w:hAnsi="宋体" w:eastAsia="宋体" w:cs="宋体"/>
                <w:color w:val="000000"/>
                <w:sz w:val="24"/>
                <w:szCs w:val="24"/>
              </w:rPr>
            </w:pPr>
          </w:p>
        </w:tc>
        <w:tc>
          <w:tcPr>
            <w:tcW w:w="722" w:type="pct"/>
            <w:noWrap w:val="0"/>
            <w:vAlign w:val="top"/>
          </w:tcPr>
          <w:p w14:paraId="227C1DB2">
            <w:pPr>
              <w:spacing w:line="360" w:lineRule="auto"/>
              <w:rPr>
                <w:rFonts w:hint="eastAsia" w:ascii="宋体" w:hAnsi="宋体" w:eastAsia="宋体" w:cs="宋体"/>
                <w:color w:val="000000"/>
                <w:sz w:val="24"/>
                <w:szCs w:val="24"/>
              </w:rPr>
            </w:pPr>
          </w:p>
        </w:tc>
        <w:tc>
          <w:tcPr>
            <w:tcW w:w="433" w:type="pct"/>
            <w:noWrap w:val="0"/>
            <w:vAlign w:val="top"/>
          </w:tcPr>
          <w:p w14:paraId="0C91DA43">
            <w:pPr>
              <w:spacing w:line="360" w:lineRule="auto"/>
              <w:rPr>
                <w:rFonts w:hint="eastAsia" w:ascii="宋体" w:hAnsi="宋体" w:eastAsia="宋体" w:cs="宋体"/>
                <w:color w:val="000000"/>
                <w:sz w:val="24"/>
                <w:szCs w:val="24"/>
              </w:rPr>
            </w:pPr>
          </w:p>
        </w:tc>
        <w:tc>
          <w:tcPr>
            <w:tcW w:w="539" w:type="pct"/>
            <w:noWrap w:val="0"/>
            <w:vAlign w:val="top"/>
          </w:tcPr>
          <w:p w14:paraId="6F676CC5">
            <w:pPr>
              <w:spacing w:line="360" w:lineRule="auto"/>
              <w:rPr>
                <w:rFonts w:hint="eastAsia" w:ascii="宋体" w:hAnsi="宋体" w:eastAsia="宋体" w:cs="宋体"/>
                <w:color w:val="000000"/>
                <w:sz w:val="24"/>
                <w:szCs w:val="24"/>
              </w:rPr>
            </w:pPr>
          </w:p>
        </w:tc>
        <w:tc>
          <w:tcPr>
            <w:tcW w:w="448" w:type="pct"/>
            <w:noWrap w:val="0"/>
            <w:vAlign w:val="top"/>
          </w:tcPr>
          <w:p w14:paraId="704E905E">
            <w:pPr>
              <w:spacing w:line="360" w:lineRule="auto"/>
              <w:rPr>
                <w:rFonts w:hint="eastAsia" w:ascii="宋体" w:hAnsi="宋体" w:eastAsia="宋体" w:cs="宋体"/>
                <w:color w:val="000000"/>
                <w:sz w:val="24"/>
                <w:szCs w:val="24"/>
              </w:rPr>
            </w:pPr>
          </w:p>
        </w:tc>
        <w:tc>
          <w:tcPr>
            <w:tcW w:w="519" w:type="pct"/>
            <w:noWrap w:val="0"/>
            <w:vAlign w:val="top"/>
          </w:tcPr>
          <w:p w14:paraId="12A941BB">
            <w:pPr>
              <w:spacing w:line="360" w:lineRule="auto"/>
              <w:rPr>
                <w:rFonts w:hint="eastAsia" w:ascii="宋体" w:hAnsi="宋体" w:eastAsia="宋体" w:cs="宋体"/>
                <w:color w:val="000000"/>
                <w:sz w:val="24"/>
                <w:szCs w:val="24"/>
              </w:rPr>
            </w:pPr>
          </w:p>
        </w:tc>
        <w:tc>
          <w:tcPr>
            <w:tcW w:w="754" w:type="pct"/>
            <w:noWrap w:val="0"/>
            <w:vAlign w:val="top"/>
          </w:tcPr>
          <w:p w14:paraId="574EC0EF">
            <w:pPr>
              <w:spacing w:line="360" w:lineRule="auto"/>
              <w:rPr>
                <w:rFonts w:hint="eastAsia" w:ascii="宋体" w:hAnsi="宋体" w:eastAsia="宋体" w:cs="宋体"/>
                <w:color w:val="000000"/>
                <w:sz w:val="24"/>
                <w:szCs w:val="24"/>
              </w:rPr>
            </w:pPr>
          </w:p>
        </w:tc>
        <w:tc>
          <w:tcPr>
            <w:tcW w:w="519" w:type="pct"/>
            <w:noWrap w:val="0"/>
            <w:vAlign w:val="top"/>
          </w:tcPr>
          <w:p w14:paraId="37A92E0D">
            <w:pPr>
              <w:spacing w:line="360" w:lineRule="auto"/>
              <w:rPr>
                <w:rFonts w:hint="eastAsia" w:ascii="宋体" w:hAnsi="宋体" w:eastAsia="宋体" w:cs="宋体"/>
                <w:color w:val="000000"/>
                <w:sz w:val="24"/>
                <w:szCs w:val="24"/>
              </w:rPr>
            </w:pPr>
          </w:p>
        </w:tc>
        <w:tc>
          <w:tcPr>
            <w:tcW w:w="469" w:type="pct"/>
            <w:noWrap w:val="0"/>
            <w:vAlign w:val="top"/>
          </w:tcPr>
          <w:p w14:paraId="7C6F8D35">
            <w:pPr>
              <w:spacing w:line="360" w:lineRule="auto"/>
              <w:rPr>
                <w:rFonts w:hint="eastAsia" w:ascii="宋体" w:hAnsi="宋体" w:eastAsia="宋体" w:cs="宋体"/>
                <w:color w:val="000000"/>
                <w:sz w:val="24"/>
                <w:szCs w:val="24"/>
              </w:rPr>
            </w:pPr>
          </w:p>
        </w:tc>
      </w:tr>
      <w:tr w14:paraId="144113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040BD193">
            <w:pPr>
              <w:spacing w:line="360" w:lineRule="auto"/>
              <w:rPr>
                <w:rFonts w:hint="eastAsia" w:ascii="宋体" w:hAnsi="宋体" w:eastAsia="宋体" w:cs="宋体"/>
                <w:color w:val="000000"/>
                <w:sz w:val="24"/>
                <w:szCs w:val="24"/>
              </w:rPr>
            </w:pPr>
          </w:p>
        </w:tc>
        <w:tc>
          <w:tcPr>
            <w:tcW w:w="722" w:type="pct"/>
            <w:noWrap w:val="0"/>
            <w:vAlign w:val="top"/>
          </w:tcPr>
          <w:p w14:paraId="21C03AA9">
            <w:pPr>
              <w:spacing w:line="360" w:lineRule="auto"/>
              <w:rPr>
                <w:rFonts w:hint="eastAsia" w:ascii="宋体" w:hAnsi="宋体" w:eastAsia="宋体" w:cs="宋体"/>
                <w:color w:val="000000"/>
                <w:sz w:val="24"/>
                <w:szCs w:val="24"/>
              </w:rPr>
            </w:pPr>
          </w:p>
        </w:tc>
        <w:tc>
          <w:tcPr>
            <w:tcW w:w="433" w:type="pct"/>
            <w:noWrap w:val="0"/>
            <w:vAlign w:val="top"/>
          </w:tcPr>
          <w:p w14:paraId="2CC764A9">
            <w:pPr>
              <w:spacing w:line="360" w:lineRule="auto"/>
              <w:rPr>
                <w:rFonts w:hint="eastAsia" w:ascii="宋体" w:hAnsi="宋体" w:eastAsia="宋体" w:cs="宋体"/>
                <w:color w:val="000000"/>
                <w:sz w:val="24"/>
                <w:szCs w:val="24"/>
              </w:rPr>
            </w:pPr>
          </w:p>
        </w:tc>
        <w:tc>
          <w:tcPr>
            <w:tcW w:w="539" w:type="pct"/>
            <w:noWrap w:val="0"/>
            <w:vAlign w:val="top"/>
          </w:tcPr>
          <w:p w14:paraId="653BE802">
            <w:pPr>
              <w:spacing w:line="360" w:lineRule="auto"/>
              <w:rPr>
                <w:rFonts w:hint="eastAsia" w:ascii="宋体" w:hAnsi="宋体" w:eastAsia="宋体" w:cs="宋体"/>
                <w:color w:val="000000"/>
                <w:sz w:val="24"/>
                <w:szCs w:val="24"/>
              </w:rPr>
            </w:pPr>
          </w:p>
        </w:tc>
        <w:tc>
          <w:tcPr>
            <w:tcW w:w="448" w:type="pct"/>
            <w:noWrap w:val="0"/>
            <w:vAlign w:val="top"/>
          </w:tcPr>
          <w:p w14:paraId="18CE044B">
            <w:pPr>
              <w:spacing w:line="360" w:lineRule="auto"/>
              <w:rPr>
                <w:rFonts w:hint="eastAsia" w:ascii="宋体" w:hAnsi="宋体" w:eastAsia="宋体" w:cs="宋体"/>
                <w:color w:val="000000"/>
                <w:sz w:val="24"/>
                <w:szCs w:val="24"/>
              </w:rPr>
            </w:pPr>
          </w:p>
        </w:tc>
        <w:tc>
          <w:tcPr>
            <w:tcW w:w="519" w:type="pct"/>
            <w:noWrap w:val="0"/>
            <w:vAlign w:val="top"/>
          </w:tcPr>
          <w:p w14:paraId="30A9A65C">
            <w:pPr>
              <w:spacing w:line="360" w:lineRule="auto"/>
              <w:rPr>
                <w:rFonts w:hint="eastAsia" w:ascii="宋体" w:hAnsi="宋体" w:eastAsia="宋体" w:cs="宋体"/>
                <w:color w:val="000000"/>
                <w:sz w:val="24"/>
                <w:szCs w:val="24"/>
              </w:rPr>
            </w:pPr>
          </w:p>
        </w:tc>
        <w:tc>
          <w:tcPr>
            <w:tcW w:w="754" w:type="pct"/>
            <w:noWrap w:val="0"/>
            <w:vAlign w:val="top"/>
          </w:tcPr>
          <w:p w14:paraId="64A181FA">
            <w:pPr>
              <w:spacing w:line="360" w:lineRule="auto"/>
              <w:rPr>
                <w:rFonts w:hint="eastAsia" w:ascii="宋体" w:hAnsi="宋体" w:eastAsia="宋体" w:cs="宋体"/>
                <w:color w:val="000000"/>
                <w:sz w:val="24"/>
                <w:szCs w:val="24"/>
              </w:rPr>
            </w:pPr>
          </w:p>
        </w:tc>
        <w:tc>
          <w:tcPr>
            <w:tcW w:w="519" w:type="pct"/>
            <w:noWrap w:val="0"/>
            <w:vAlign w:val="top"/>
          </w:tcPr>
          <w:p w14:paraId="7EC5570A">
            <w:pPr>
              <w:spacing w:line="360" w:lineRule="auto"/>
              <w:rPr>
                <w:rFonts w:hint="eastAsia" w:ascii="宋体" w:hAnsi="宋体" w:eastAsia="宋体" w:cs="宋体"/>
                <w:color w:val="000000"/>
                <w:sz w:val="24"/>
                <w:szCs w:val="24"/>
              </w:rPr>
            </w:pPr>
          </w:p>
        </w:tc>
        <w:tc>
          <w:tcPr>
            <w:tcW w:w="469" w:type="pct"/>
            <w:noWrap w:val="0"/>
            <w:vAlign w:val="top"/>
          </w:tcPr>
          <w:p w14:paraId="2EE7103E">
            <w:pPr>
              <w:spacing w:line="360" w:lineRule="auto"/>
              <w:rPr>
                <w:rFonts w:hint="eastAsia" w:ascii="宋体" w:hAnsi="宋体" w:eastAsia="宋体" w:cs="宋体"/>
                <w:color w:val="000000"/>
                <w:sz w:val="24"/>
                <w:szCs w:val="24"/>
              </w:rPr>
            </w:pPr>
          </w:p>
        </w:tc>
      </w:tr>
      <w:tr w14:paraId="5B411B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0768FC3F">
            <w:pPr>
              <w:spacing w:line="360" w:lineRule="auto"/>
              <w:rPr>
                <w:rFonts w:hint="eastAsia" w:ascii="宋体" w:hAnsi="宋体" w:eastAsia="宋体" w:cs="宋体"/>
                <w:color w:val="000000"/>
                <w:sz w:val="24"/>
                <w:szCs w:val="24"/>
              </w:rPr>
            </w:pPr>
          </w:p>
        </w:tc>
        <w:tc>
          <w:tcPr>
            <w:tcW w:w="722" w:type="pct"/>
            <w:noWrap w:val="0"/>
            <w:vAlign w:val="top"/>
          </w:tcPr>
          <w:p w14:paraId="33E47CBE">
            <w:pPr>
              <w:spacing w:line="360" w:lineRule="auto"/>
              <w:rPr>
                <w:rFonts w:hint="eastAsia" w:ascii="宋体" w:hAnsi="宋体" w:eastAsia="宋体" w:cs="宋体"/>
                <w:color w:val="000000"/>
                <w:sz w:val="24"/>
                <w:szCs w:val="24"/>
              </w:rPr>
            </w:pPr>
          </w:p>
        </w:tc>
        <w:tc>
          <w:tcPr>
            <w:tcW w:w="433" w:type="pct"/>
            <w:noWrap w:val="0"/>
            <w:vAlign w:val="top"/>
          </w:tcPr>
          <w:p w14:paraId="6BF4E412">
            <w:pPr>
              <w:spacing w:line="360" w:lineRule="auto"/>
              <w:rPr>
                <w:rFonts w:hint="eastAsia" w:ascii="宋体" w:hAnsi="宋体" w:eastAsia="宋体" w:cs="宋体"/>
                <w:color w:val="000000"/>
                <w:sz w:val="24"/>
                <w:szCs w:val="24"/>
              </w:rPr>
            </w:pPr>
          </w:p>
        </w:tc>
        <w:tc>
          <w:tcPr>
            <w:tcW w:w="539" w:type="pct"/>
            <w:noWrap w:val="0"/>
            <w:vAlign w:val="top"/>
          </w:tcPr>
          <w:p w14:paraId="2864E8F9">
            <w:pPr>
              <w:spacing w:line="360" w:lineRule="auto"/>
              <w:rPr>
                <w:rFonts w:hint="eastAsia" w:ascii="宋体" w:hAnsi="宋体" w:eastAsia="宋体" w:cs="宋体"/>
                <w:color w:val="000000"/>
                <w:sz w:val="24"/>
                <w:szCs w:val="24"/>
              </w:rPr>
            </w:pPr>
          </w:p>
        </w:tc>
        <w:tc>
          <w:tcPr>
            <w:tcW w:w="448" w:type="pct"/>
            <w:noWrap w:val="0"/>
            <w:vAlign w:val="top"/>
          </w:tcPr>
          <w:p w14:paraId="5A36DB73">
            <w:pPr>
              <w:spacing w:line="360" w:lineRule="auto"/>
              <w:rPr>
                <w:rFonts w:hint="eastAsia" w:ascii="宋体" w:hAnsi="宋体" w:eastAsia="宋体" w:cs="宋体"/>
                <w:color w:val="000000"/>
                <w:sz w:val="24"/>
                <w:szCs w:val="24"/>
              </w:rPr>
            </w:pPr>
          </w:p>
        </w:tc>
        <w:tc>
          <w:tcPr>
            <w:tcW w:w="519" w:type="pct"/>
            <w:noWrap w:val="0"/>
            <w:vAlign w:val="top"/>
          </w:tcPr>
          <w:p w14:paraId="3378CB3A">
            <w:pPr>
              <w:spacing w:line="360" w:lineRule="auto"/>
              <w:rPr>
                <w:rFonts w:hint="eastAsia" w:ascii="宋体" w:hAnsi="宋体" w:eastAsia="宋体" w:cs="宋体"/>
                <w:color w:val="000000"/>
                <w:sz w:val="24"/>
                <w:szCs w:val="24"/>
              </w:rPr>
            </w:pPr>
          </w:p>
        </w:tc>
        <w:tc>
          <w:tcPr>
            <w:tcW w:w="754" w:type="pct"/>
            <w:noWrap w:val="0"/>
            <w:vAlign w:val="top"/>
          </w:tcPr>
          <w:p w14:paraId="7A7C0535">
            <w:pPr>
              <w:spacing w:line="360" w:lineRule="auto"/>
              <w:rPr>
                <w:rFonts w:hint="eastAsia" w:ascii="宋体" w:hAnsi="宋体" w:eastAsia="宋体" w:cs="宋体"/>
                <w:color w:val="000000"/>
                <w:sz w:val="24"/>
                <w:szCs w:val="24"/>
              </w:rPr>
            </w:pPr>
          </w:p>
        </w:tc>
        <w:tc>
          <w:tcPr>
            <w:tcW w:w="519" w:type="pct"/>
            <w:noWrap w:val="0"/>
            <w:vAlign w:val="top"/>
          </w:tcPr>
          <w:p w14:paraId="1411697C">
            <w:pPr>
              <w:spacing w:line="360" w:lineRule="auto"/>
              <w:rPr>
                <w:rFonts w:hint="eastAsia" w:ascii="宋体" w:hAnsi="宋体" w:eastAsia="宋体" w:cs="宋体"/>
                <w:color w:val="000000"/>
                <w:sz w:val="24"/>
                <w:szCs w:val="24"/>
              </w:rPr>
            </w:pPr>
          </w:p>
        </w:tc>
        <w:tc>
          <w:tcPr>
            <w:tcW w:w="469" w:type="pct"/>
            <w:noWrap w:val="0"/>
            <w:vAlign w:val="top"/>
          </w:tcPr>
          <w:p w14:paraId="67B8B76E">
            <w:pPr>
              <w:spacing w:line="360" w:lineRule="auto"/>
              <w:rPr>
                <w:rFonts w:hint="eastAsia" w:ascii="宋体" w:hAnsi="宋体" w:eastAsia="宋体" w:cs="宋体"/>
                <w:color w:val="000000"/>
                <w:sz w:val="24"/>
                <w:szCs w:val="24"/>
              </w:rPr>
            </w:pPr>
          </w:p>
        </w:tc>
      </w:tr>
      <w:tr w14:paraId="531C03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5086D30D">
            <w:pPr>
              <w:spacing w:line="360" w:lineRule="auto"/>
              <w:rPr>
                <w:rFonts w:hint="eastAsia" w:ascii="宋体" w:hAnsi="宋体" w:eastAsia="宋体" w:cs="宋体"/>
                <w:color w:val="000000"/>
                <w:sz w:val="24"/>
                <w:szCs w:val="24"/>
              </w:rPr>
            </w:pPr>
          </w:p>
        </w:tc>
        <w:tc>
          <w:tcPr>
            <w:tcW w:w="722" w:type="pct"/>
            <w:noWrap w:val="0"/>
            <w:vAlign w:val="top"/>
          </w:tcPr>
          <w:p w14:paraId="6B493312">
            <w:pPr>
              <w:spacing w:line="360" w:lineRule="auto"/>
              <w:rPr>
                <w:rFonts w:hint="eastAsia" w:ascii="宋体" w:hAnsi="宋体" w:eastAsia="宋体" w:cs="宋体"/>
                <w:color w:val="000000"/>
                <w:sz w:val="24"/>
                <w:szCs w:val="24"/>
              </w:rPr>
            </w:pPr>
          </w:p>
        </w:tc>
        <w:tc>
          <w:tcPr>
            <w:tcW w:w="433" w:type="pct"/>
            <w:noWrap w:val="0"/>
            <w:vAlign w:val="top"/>
          </w:tcPr>
          <w:p w14:paraId="54C355B6">
            <w:pPr>
              <w:spacing w:line="360" w:lineRule="auto"/>
              <w:rPr>
                <w:rFonts w:hint="eastAsia" w:ascii="宋体" w:hAnsi="宋体" w:eastAsia="宋体" w:cs="宋体"/>
                <w:color w:val="000000"/>
                <w:sz w:val="24"/>
                <w:szCs w:val="24"/>
              </w:rPr>
            </w:pPr>
          </w:p>
        </w:tc>
        <w:tc>
          <w:tcPr>
            <w:tcW w:w="539" w:type="pct"/>
            <w:noWrap w:val="0"/>
            <w:vAlign w:val="top"/>
          </w:tcPr>
          <w:p w14:paraId="2028E646">
            <w:pPr>
              <w:spacing w:line="360" w:lineRule="auto"/>
              <w:rPr>
                <w:rFonts w:hint="eastAsia" w:ascii="宋体" w:hAnsi="宋体" w:eastAsia="宋体" w:cs="宋体"/>
                <w:color w:val="000000"/>
                <w:sz w:val="24"/>
                <w:szCs w:val="24"/>
              </w:rPr>
            </w:pPr>
          </w:p>
        </w:tc>
        <w:tc>
          <w:tcPr>
            <w:tcW w:w="448" w:type="pct"/>
            <w:noWrap w:val="0"/>
            <w:vAlign w:val="top"/>
          </w:tcPr>
          <w:p w14:paraId="2EB5F3F5">
            <w:pPr>
              <w:spacing w:line="360" w:lineRule="auto"/>
              <w:rPr>
                <w:rFonts w:hint="eastAsia" w:ascii="宋体" w:hAnsi="宋体" w:eastAsia="宋体" w:cs="宋体"/>
                <w:color w:val="000000"/>
                <w:sz w:val="24"/>
                <w:szCs w:val="24"/>
              </w:rPr>
            </w:pPr>
          </w:p>
        </w:tc>
        <w:tc>
          <w:tcPr>
            <w:tcW w:w="519" w:type="pct"/>
            <w:noWrap w:val="0"/>
            <w:vAlign w:val="top"/>
          </w:tcPr>
          <w:p w14:paraId="399B5CA5">
            <w:pPr>
              <w:spacing w:line="360" w:lineRule="auto"/>
              <w:rPr>
                <w:rFonts w:hint="eastAsia" w:ascii="宋体" w:hAnsi="宋体" w:eastAsia="宋体" w:cs="宋体"/>
                <w:color w:val="000000"/>
                <w:sz w:val="24"/>
                <w:szCs w:val="24"/>
              </w:rPr>
            </w:pPr>
          </w:p>
        </w:tc>
        <w:tc>
          <w:tcPr>
            <w:tcW w:w="754" w:type="pct"/>
            <w:noWrap w:val="0"/>
            <w:vAlign w:val="top"/>
          </w:tcPr>
          <w:p w14:paraId="3620783E">
            <w:pPr>
              <w:spacing w:line="360" w:lineRule="auto"/>
              <w:rPr>
                <w:rFonts w:hint="eastAsia" w:ascii="宋体" w:hAnsi="宋体" w:eastAsia="宋体" w:cs="宋体"/>
                <w:color w:val="000000"/>
                <w:sz w:val="24"/>
                <w:szCs w:val="24"/>
              </w:rPr>
            </w:pPr>
          </w:p>
        </w:tc>
        <w:tc>
          <w:tcPr>
            <w:tcW w:w="519" w:type="pct"/>
            <w:noWrap w:val="0"/>
            <w:vAlign w:val="top"/>
          </w:tcPr>
          <w:p w14:paraId="0A7BD200">
            <w:pPr>
              <w:spacing w:line="360" w:lineRule="auto"/>
              <w:rPr>
                <w:rFonts w:hint="eastAsia" w:ascii="宋体" w:hAnsi="宋体" w:eastAsia="宋体" w:cs="宋体"/>
                <w:color w:val="000000"/>
                <w:sz w:val="24"/>
                <w:szCs w:val="24"/>
              </w:rPr>
            </w:pPr>
          </w:p>
        </w:tc>
        <w:tc>
          <w:tcPr>
            <w:tcW w:w="469" w:type="pct"/>
            <w:noWrap w:val="0"/>
            <w:vAlign w:val="top"/>
          </w:tcPr>
          <w:p w14:paraId="362683B5">
            <w:pPr>
              <w:spacing w:line="360" w:lineRule="auto"/>
              <w:rPr>
                <w:rFonts w:hint="eastAsia" w:ascii="宋体" w:hAnsi="宋体" w:eastAsia="宋体" w:cs="宋体"/>
                <w:color w:val="000000"/>
                <w:sz w:val="24"/>
                <w:szCs w:val="24"/>
              </w:rPr>
            </w:pPr>
          </w:p>
        </w:tc>
      </w:tr>
    </w:tbl>
    <w:p w14:paraId="0373DF0A">
      <w:pPr>
        <w:spacing w:line="360" w:lineRule="auto"/>
        <w:rPr>
          <w:rFonts w:hint="eastAsia" w:ascii="宋体" w:hAnsi="宋体" w:eastAsia="宋体" w:cs="宋体"/>
          <w:color w:val="000000"/>
          <w:sz w:val="24"/>
          <w:szCs w:val="24"/>
        </w:rPr>
      </w:pPr>
    </w:p>
    <w:p w14:paraId="22D7FDAB">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553" w:name="_Toc296891056"/>
      <w:bookmarkStart w:id="554" w:name="_Toc267261699"/>
      <w:bookmarkStart w:id="555" w:name="_Toc296891268"/>
      <w:bookmarkStart w:id="556" w:name="_Toc296347227"/>
      <w:bookmarkStart w:id="557" w:name="_Toc296346729"/>
      <w:bookmarkStart w:id="558" w:name="_Toc296944567"/>
      <w:bookmarkStart w:id="559" w:name="_Toc296503228"/>
      <w:r>
        <w:rPr>
          <w:rFonts w:hint="eastAsia" w:ascii="宋体" w:hAnsi="宋体" w:eastAsia="宋体" w:cs="宋体"/>
          <w:color w:val="000000"/>
          <w:sz w:val="24"/>
          <w:szCs w:val="24"/>
        </w:rPr>
        <w:t>件6：</w:t>
      </w:r>
    </w:p>
    <w:bookmarkEnd w:id="553"/>
    <w:bookmarkEnd w:id="554"/>
    <w:bookmarkEnd w:id="555"/>
    <w:bookmarkEnd w:id="556"/>
    <w:bookmarkEnd w:id="557"/>
    <w:bookmarkEnd w:id="558"/>
    <w:bookmarkEnd w:id="559"/>
    <w:p w14:paraId="37CD675D">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承包人主要施工管理人员表</w:t>
      </w:r>
    </w:p>
    <w:tbl>
      <w:tblPr>
        <w:tblStyle w:val="41"/>
        <w:tblW w:w="4998"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593"/>
        <w:gridCol w:w="1207"/>
        <w:gridCol w:w="965"/>
        <w:gridCol w:w="965"/>
        <w:gridCol w:w="3629"/>
      </w:tblGrid>
      <w:tr w14:paraId="04C11F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12" w:space="0"/>
              <w:bottom w:val="double" w:color="auto" w:sz="6" w:space="0"/>
            </w:tcBorders>
            <w:noWrap w:val="0"/>
            <w:vAlign w:val="center"/>
          </w:tcPr>
          <w:p w14:paraId="791BBC58">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名    称</w:t>
            </w:r>
          </w:p>
        </w:tc>
        <w:tc>
          <w:tcPr>
            <w:tcW w:w="722" w:type="pct"/>
            <w:tcBorders>
              <w:top w:val="single" w:color="auto" w:sz="12" w:space="0"/>
              <w:bottom w:val="double" w:color="auto" w:sz="6" w:space="0"/>
            </w:tcBorders>
            <w:noWrap w:val="0"/>
            <w:vAlign w:val="center"/>
          </w:tcPr>
          <w:p w14:paraId="3F064EE6">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姓名</w:t>
            </w:r>
          </w:p>
        </w:tc>
        <w:tc>
          <w:tcPr>
            <w:tcW w:w="577" w:type="pct"/>
            <w:tcBorders>
              <w:top w:val="single" w:color="auto" w:sz="12" w:space="0"/>
              <w:bottom w:val="double" w:color="auto" w:sz="6" w:space="0"/>
            </w:tcBorders>
            <w:noWrap w:val="0"/>
            <w:vAlign w:val="center"/>
          </w:tcPr>
          <w:p w14:paraId="59045854">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职务</w:t>
            </w:r>
          </w:p>
        </w:tc>
        <w:tc>
          <w:tcPr>
            <w:tcW w:w="577" w:type="pct"/>
            <w:tcBorders>
              <w:top w:val="single" w:color="auto" w:sz="12" w:space="0"/>
              <w:bottom w:val="double" w:color="auto" w:sz="6" w:space="0"/>
            </w:tcBorders>
            <w:noWrap w:val="0"/>
            <w:vAlign w:val="center"/>
          </w:tcPr>
          <w:p w14:paraId="6B688084">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职称</w:t>
            </w:r>
          </w:p>
        </w:tc>
        <w:tc>
          <w:tcPr>
            <w:tcW w:w="2167" w:type="pct"/>
            <w:tcBorders>
              <w:top w:val="single" w:color="auto" w:sz="12" w:space="0"/>
              <w:bottom w:val="double" w:color="auto" w:sz="6" w:space="0"/>
            </w:tcBorders>
            <w:noWrap w:val="0"/>
            <w:vAlign w:val="center"/>
          </w:tcPr>
          <w:p w14:paraId="72695C03">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主要资历、经验及承担过的项目</w:t>
            </w:r>
          </w:p>
        </w:tc>
      </w:tr>
      <w:tr w14:paraId="6FD70C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double" w:color="auto" w:sz="6" w:space="0"/>
              <w:bottom w:val="single" w:color="auto" w:sz="6" w:space="0"/>
            </w:tcBorders>
            <w:noWrap w:val="0"/>
            <w:vAlign w:val="center"/>
          </w:tcPr>
          <w:p w14:paraId="4118A36E">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一、总部人员</w:t>
            </w:r>
          </w:p>
        </w:tc>
      </w:tr>
      <w:tr w14:paraId="086781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noWrap w:val="0"/>
            <w:vAlign w:val="center"/>
          </w:tcPr>
          <w:p w14:paraId="5ADD0F30">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项目主管</w:t>
            </w:r>
          </w:p>
        </w:tc>
        <w:tc>
          <w:tcPr>
            <w:tcW w:w="722" w:type="pct"/>
            <w:tcBorders>
              <w:top w:val="nil"/>
            </w:tcBorders>
            <w:noWrap w:val="0"/>
            <w:vAlign w:val="center"/>
          </w:tcPr>
          <w:p w14:paraId="3AAF2E4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top w:val="nil"/>
            </w:tcBorders>
            <w:noWrap w:val="0"/>
            <w:vAlign w:val="center"/>
          </w:tcPr>
          <w:p w14:paraId="2B0588F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top w:val="nil"/>
            </w:tcBorders>
            <w:noWrap w:val="0"/>
            <w:vAlign w:val="center"/>
          </w:tcPr>
          <w:p w14:paraId="1BCD1CF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tcBorders>
              <w:top w:val="nil"/>
            </w:tcBorders>
            <w:noWrap w:val="0"/>
            <w:vAlign w:val="center"/>
          </w:tcPr>
          <w:p w14:paraId="1F0EFD9D">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B96ED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nil"/>
            </w:tcBorders>
            <w:noWrap w:val="0"/>
            <w:vAlign w:val="center"/>
          </w:tcPr>
          <w:p w14:paraId="678EB4B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0B26081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52654ED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13DDF8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17284CB4">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A2976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noWrap w:val="0"/>
            <w:vAlign w:val="center"/>
          </w:tcPr>
          <w:p w14:paraId="2FBDEBF5">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其他人员</w:t>
            </w:r>
          </w:p>
        </w:tc>
        <w:tc>
          <w:tcPr>
            <w:tcW w:w="722" w:type="pct"/>
            <w:noWrap w:val="0"/>
            <w:vAlign w:val="center"/>
          </w:tcPr>
          <w:p w14:paraId="78759E2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27B3E23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6314529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37A4E5A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67C60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noWrap w:val="0"/>
            <w:vAlign w:val="center"/>
          </w:tcPr>
          <w:p w14:paraId="24BBB28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02813BE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11F8349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55C532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4DB23F6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92CA2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single" w:color="auto" w:sz="6" w:space="0"/>
              <w:bottom w:val="single" w:color="auto" w:sz="6" w:space="0"/>
            </w:tcBorders>
            <w:noWrap w:val="0"/>
            <w:vAlign w:val="center"/>
          </w:tcPr>
          <w:p w14:paraId="00D09283">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二、现场人员</w:t>
            </w:r>
          </w:p>
        </w:tc>
      </w:tr>
      <w:tr w14:paraId="33649C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5E9395FA">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项目经理</w:t>
            </w:r>
          </w:p>
        </w:tc>
        <w:tc>
          <w:tcPr>
            <w:tcW w:w="722" w:type="pct"/>
            <w:noWrap w:val="0"/>
            <w:vAlign w:val="center"/>
          </w:tcPr>
          <w:p w14:paraId="6669A73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5B650E9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4B1B9F1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0C9CFEE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D52B3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6703EA55">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项目副经理</w:t>
            </w:r>
          </w:p>
        </w:tc>
        <w:tc>
          <w:tcPr>
            <w:tcW w:w="722" w:type="pct"/>
            <w:noWrap w:val="0"/>
            <w:vAlign w:val="center"/>
          </w:tcPr>
          <w:p w14:paraId="6498D52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253AB2B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6048AE6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5FFCE42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2D565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1EB73B8C">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技术负责人</w:t>
            </w:r>
          </w:p>
        </w:tc>
        <w:tc>
          <w:tcPr>
            <w:tcW w:w="722" w:type="pct"/>
            <w:noWrap w:val="0"/>
            <w:vAlign w:val="center"/>
          </w:tcPr>
          <w:p w14:paraId="759AA54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A199DE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2ACFC8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3274F1E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DD50A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3081514F">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造价管理</w:t>
            </w:r>
          </w:p>
        </w:tc>
        <w:tc>
          <w:tcPr>
            <w:tcW w:w="722" w:type="pct"/>
            <w:noWrap w:val="0"/>
            <w:vAlign w:val="center"/>
          </w:tcPr>
          <w:p w14:paraId="05CF5BD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24EC5C3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4918BD7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0B060AC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0BAD4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1E614337">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质量管理</w:t>
            </w:r>
          </w:p>
        </w:tc>
        <w:tc>
          <w:tcPr>
            <w:tcW w:w="722" w:type="pct"/>
            <w:noWrap w:val="0"/>
            <w:vAlign w:val="center"/>
          </w:tcPr>
          <w:p w14:paraId="74B52AC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650274A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D791E4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36E0417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96B7A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2A5230F1">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材料管理</w:t>
            </w:r>
          </w:p>
        </w:tc>
        <w:tc>
          <w:tcPr>
            <w:tcW w:w="722" w:type="pct"/>
            <w:noWrap w:val="0"/>
            <w:vAlign w:val="center"/>
          </w:tcPr>
          <w:p w14:paraId="520E30C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35E328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22146C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2D67629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23D1B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4C69E4E1">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计划管理</w:t>
            </w:r>
          </w:p>
        </w:tc>
        <w:tc>
          <w:tcPr>
            <w:tcW w:w="722" w:type="pct"/>
            <w:noWrap w:val="0"/>
            <w:vAlign w:val="center"/>
          </w:tcPr>
          <w:p w14:paraId="7897D38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561139B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0FEF4B7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636CB0C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A9B44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11D4DCC2">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安全管理</w:t>
            </w:r>
          </w:p>
        </w:tc>
        <w:tc>
          <w:tcPr>
            <w:tcW w:w="722" w:type="pct"/>
            <w:noWrap w:val="0"/>
            <w:vAlign w:val="center"/>
          </w:tcPr>
          <w:p w14:paraId="69B0192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437E41F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DE3A59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17FDEC8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23848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restart"/>
            <w:tcBorders>
              <w:top w:val="single" w:color="auto" w:sz="6" w:space="0"/>
            </w:tcBorders>
            <w:noWrap w:val="0"/>
            <w:vAlign w:val="center"/>
          </w:tcPr>
          <w:p w14:paraId="4C350BE4">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其他人员</w:t>
            </w:r>
          </w:p>
        </w:tc>
        <w:tc>
          <w:tcPr>
            <w:tcW w:w="722" w:type="pct"/>
            <w:noWrap w:val="0"/>
            <w:vAlign w:val="center"/>
          </w:tcPr>
          <w:p w14:paraId="7F7C8D1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9E90BC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1984383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7AE4892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D495F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5396746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tcBorders>
              <w:bottom w:val="nil"/>
            </w:tcBorders>
            <w:noWrap w:val="0"/>
            <w:vAlign w:val="center"/>
          </w:tcPr>
          <w:p w14:paraId="1A5CDF5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bottom w:val="nil"/>
            </w:tcBorders>
            <w:noWrap w:val="0"/>
            <w:vAlign w:val="center"/>
          </w:tcPr>
          <w:p w14:paraId="57EBED7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bottom w:val="nil"/>
            </w:tcBorders>
            <w:noWrap w:val="0"/>
            <w:vAlign w:val="center"/>
          </w:tcPr>
          <w:p w14:paraId="6469725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tcBorders>
              <w:bottom w:val="nil"/>
            </w:tcBorders>
            <w:noWrap w:val="0"/>
            <w:vAlign w:val="center"/>
          </w:tcPr>
          <w:p w14:paraId="7EB6D59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E7456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56409D1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37F82B8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4D53AE8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51E2DF1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7FD89C8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353C0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2C69F3C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6BD64D1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4953FB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0496ED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27A21DD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AAFE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6EC4E29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27F3E12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26A498F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4241E16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73838F42">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93E13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tcBorders>
              <w:bottom w:val="single" w:color="auto" w:sz="12" w:space="0"/>
            </w:tcBorders>
            <w:noWrap w:val="0"/>
            <w:vAlign w:val="center"/>
          </w:tcPr>
          <w:p w14:paraId="170B95D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tcBorders>
              <w:bottom w:val="single" w:color="auto" w:sz="12" w:space="0"/>
            </w:tcBorders>
            <w:noWrap w:val="0"/>
            <w:vAlign w:val="center"/>
          </w:tcPr>
          <w:p w14:paraId="4EE98E6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bottom w:val="single" w:color="auto" w:sz="12" w:space="0"/>
            </w:tcBorders>
            <w:noWrap w:val="0"/>
            <w:vAlign w:val="center"/>
          </w:tcPr>
          <w:p w14:paraId="488E86A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bottom w:val="single" w:color="auto" w:sz="12" w:space="0"/>
            </w:tcBorders>
            <w:noWrap w:val="0"/>
            <w:vAlign w:val="center"/>
          </w:tcPr>
          <w:p w14:paraId="4821D05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tcBorders>
              <w:bottom w:val="single" w:color="auto" w:sz="12" w:space="0"/>
            </w:tcBorders>
            <w:noWrap w:val="0"/>
            <w:vAlign w:val="center"/>
          </w:tcPr>
          <w:p w14:paraId="12021A2F">
            <w:pPr>
              <w:pStyle w:val="2"/>
              <w:keepNext/>
              <w:spacing w:after="0" w:line="360" w:lineRule="auto"/>
              <w:ind w:left="63" w:right="63"/>
              <w:rPr>
                <w:rFonts w:hint="eastAsia" w:ascii="宋体" w:hAnsi="宋体" w:eastAsia="宋体" w:cs="宋体"/>
                <w:color w:val="000000"/>
                <w:kern w:val="2"/>
                <w:sz w:val="24"/>
                <w:szCs w:val="24"/>
                <w:lang w:val="en-US" w:eastAsia="zh-CN"/>
              </w:rPr>
            </w:pPr>
          </w:p>
        </w:tc>
      </w:tr>
    </w:tbl>
    <w:p w14:paraId="16B1065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附</w:t>
      </w:r>
      <w:bookmarkStart w:id="560" w:name="_Toc296503229"/>
      <w:bookmarkStart w:id="561" w:name="_Toc296944568"/>
      <w:bookmarkStart w:id="562" w:name="_Toc296346730"/>
      <w:bookmarkStart w:id="563" w:name="_Toc296891057"/>
      <w:bookmarkStart w:id="564" w:name="_Toc296347228"/>
      <w:bookmarkStart w:id="565" w:name="_Toc296891269"/>
      <w:r>
        <w:rPr>
          <w:rFonts w:hint="eastAsia" w:ascii="宋体" w:hAnsi="宋体" w:eastAsia="宋体" w:cs="宋体"/>
          <w:color w:val="000000"/>
          <w:sz w:val="24"/>
          <w:szCs w:val="24"/>
        </w:rPr>
        <w:t>件7：</w:t>
      </w:r>
    </w:p>
    <w:bookmarkEnd w:id="560"/>
    <w:bookmarkEnd w:id="561"/>
    <w:bookmarkEnd w:id="562"/>
    <w:bookmarkEnd w:id="563"/>
    <w:bookmarkEnd w:id="564"/>
    <w:bookmarkEnd w:id="565"/>
    <w:p w14:paraId="348D03D5">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分包人主要施工管理人员表</w:t>
      </w:r>
    </w:p>
    <w:tbl>
      <w:tblPr>
        <w:tblStyle w:val="41"/>
        <w:tblW w:w="4998"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593"/>
        <w:gridCol w:w="1207"/>
        <w:gridCol w:w="965"/>
        <w:gridCol w:w="965"/>
        <w:gridCol w:w="3629"/>
      </w:tblGrid>
      <w:tr w14:paraId="22A803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12" w:space="0"/>
              <w:bottom w:val="double" w:color="auto" w:sz="6" w:space="0"/>
            </w:tcBorders>
            <w:noWrap w:val="0"/>
            <w:vAlign w:val="center"/>
          </w:tcPr>
          <w:p w14:paraId="101B7E62">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名    称</w:t>
            </w:r>
          </w:p>
        </w:tc>
        <w:tc>
          <w:tcPr>
            <w:tcW w:w="722" w:type="pct"/>
            <w:tcBorders>
              <w:top w:val="single" w:color="auto" w:sz="12" w:space="0"/>
              <w:bottom w:val="double" w:color="auto" w:sz="6" w:space="0"/>
            </w:tcBorders>
            <w:noWrap w:val="0"/>
            <w:vAlign w:val="center"/>
          </w:tcPr>
          <w:p w14:paraId="55FE9783">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姓名</w:t>
            </w:r>
          </w:p>
        </w:tc>
        <w:tc>
          <w:tcPr>
            <w:tcW w:w="577" w:type="pct"/>
            <w:tcBorders>
              <w:top w:val="single" w:color="auto" w:sz="12" w:space="0"/>
              <w:bottom w:val="double" w:color="auto" w:sz="6" w:space="0"/>
            </w:tcBorders>
            <w:noWrap w:val="0"/>
            <w:vAlign w:val="center"/>
          </w:tcPr>
          <w:p w14:paraId="54A18261">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职务</w:t>
            </w:r>
          </w:p>
        </w:tc>
        <w:tc>
          <w:tcPr>
            <w:tcW w:w="577" w:type="pct"/>
            <w:tcBorders>
              <w:top w:val="single" w:color="auto" w:sz="12" w:space="0"/>
              <w:bottom w:val="double" w:color="auto" w:sz="6" w:space="0"/>
            </w:tcBorders>
            <w:noWrap w:val="0"/>
            <w:vAlign w:val="center"/>
          </w:tcPr>
          <w:p w14:paraId="1AF66923">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职称</w:t>
            </w:r>
          </w:p>
        </w:tc>
        <w:tc>
          <w:tcPr>
            <w:tcW w:w="2167" w:type="pct"/>
            <w:tcBorders>
              <w:top w:val="single" w:color="auto" w:sz="12" w:space="0"/>
              <w:bottom w:val="double" w:color="auto" w:sz="6" w:space="0"/>
            </w:tcBorders>
            <w:noWrap w:val="0"/>
            <w:vAlign w:val="center"/>
          </w:tcPr>
          <w:p w14:paraId="01DF5C02">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主要资历、经验及承担过的项目</w:t>
            </w:r>
          </w:p>
        </w:tc>
      </w:tr>
      <w:tr w14:paraId="4AE95C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double" w:color="auto" w:sz="6" w:space="0"/>
              <w:bottom w:val="single" w:color="auto" w:sz="6" w:space="0"/>
            </w:tcBorders>
            <w:noWrap w:val="0"/>
            <w:vAlign w:val="center"/>
          </w:tcPr>
          <w:p w14:paraId="32377F2B">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一、总部人员</w:t>
            </w:r>
          </w:p>
        </w:tc>
      </w:tr>
      <w:tr w14:paraId="5F983E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noWrap w:val="0"/>
            <w:vAlign w:val="center"/>
          </w:tcPr>
          <w:p w14:paraId="2E3C03EB">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项目主管</w:t>
            </w:r>
          </w:p>
        </w:tc>
        <w:tc>
          <w:tcPr>
            <w:tcW w:w="722" w:type="pct"/>
            <w:tcBorders>
              <w:top w:val="nil"/>
            </w:tcBorders>
            <w:noWrap w:val="0"/>
            <w:vAlign w:val="center"/>
          </w:tcPr>
          <w:p w14:paraId="6F72E4D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top w:val="nil"/>
            </w:tcBorders>
            <w:noWrap w:val="0"/>
            <w:vAlign w:val="center"/>
          </w:tcPr>
          <w:p w14:paraId="061A8DB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top w:val="nil"/>
            </w:tcBorders>
            <w:noWrap w:val="0"/>
            <w:vAlign w:val="center"/>
          </w:tcPr>
          <w:p w14:paraId="58E152C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tcBorders>
              <w:top w:val="nil"/>
            </w:tcBorders>
            <w:noWrap w:val="0"/>
            <w:vAlign w:val="center"/>
          </w:tcPr>
          <w:p w14:paraId="775179C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A227E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nil"/>
            </w:tcBorders>
            <w:noWrap w:val="0"/>
            <w:vAlign w:val="center"/>
          </w:tcPr>
          <w:p w14:paraId="55AEBE1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3D6812E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560E1B3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43ADE79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1DA523C4">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46816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noWrap w:val="0"/>
            <w:vAlign w:val="center"/>
          </w:tcPr>
          <w:p w14:paraId="09380E9D">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其他人员</w:t>
            </w:r>
          </w:p>
        </w:tc>
        <w:tc>
          <w:tcPr>
            <w:tcW w:w="722" w:type="pct"/>
            <w:noWrap w:val="0"/>
            <w:vAlign w:val="center"/>
          </w:tcPr>
          <w:p w14:paraId="064B481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5B408EF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47BBAB9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2DECB9B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79498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noWrap w:val="0"/>
            <w:vAlign w:val="center"/>
          </w:tcPr>
          <w:p w14:paraId="3061DAB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61BC31B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66EC77E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60BF63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377B727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0E98B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single" w:color="auto" w:sz="6" w:space="0"/>
              <w:bottom w:val="single" w:color="auto" w:sz="6" w:space="0"/>
            </w:tcBorders>
            <w:noWrap w:val="0"/>
            <w:vAlign w:val="center"/>
          </w:tcPr>
          <w:p w14:paraId="4F2E9DFE">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二、现场人员</w:t>
            </w:r>
          </w:p>
        </w:tc>
      </w:tr>
      <w:tr w14:paraId="51EFDA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04D13F1D">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项目经理</w:t>
            </w:r>
          </w:p>
        </w:tc>
        <w:tc>
          <w:tcPr>
            <w:tcW w:w="722" w:type="pct"/>
            <w:noWrap w:val="0"/>
            <w:vAlign w:val="center"/>
          </w:tcPr>
          <w:p w14:paraId="3B30086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A191EA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C3278D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30CB9716">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ECAE9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3088B70A">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项目副经理</w:t>
            </w:r>
          </w:p>
        </w:tc>
        <w:tc>
          <w:tcPr>
            <w:tcW w:w="722" w:type="pct"/>
            <w:noWrap w:val="0"/>
            <w:vAlign w:val="center"/>
          </w:tcPr>
          <w:p w14:paraId="16554D6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41B60DF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15FD1B2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1AF3533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BD8C8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032322F5">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技术负责人</w:t>
            </w:r>
          </w:p>
        </w:tc>
        <w:tc>
          <w:tcPr>
            <w:tcW w:w="722" w:type="pct"/>
            <w:noWrap w:val="0"/>
            <w:vAlign w:val="center"/>
          </w:tcPr>
          <w:p w14:paraId="2F835B0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181116A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5E76666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00B30C62">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9223A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620B3B43">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造价管理</w:t>
            </w:r>
          </w:p>
        </w:tc>
        <w:tc>
          <w:tcPr>
            <w:tcW w:w="722" w:type="pct"/>
            <w:noWrap w:val="0"/>
            <w:vAlign w:val="center"/>
          </w:tcPr>
          <w:p w14:paraId="55819BD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2BA2502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4207FB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45158FDB">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1A9AF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5AAA75D9">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质量管理</w:t>
            </w:r>
          </w:p>
        </w:tc>
        <w:tc>
          <w:tcPr>
            <w:tcW w:w="722" w:type="pct"/>
            <w:noWrap w:val="0"/>
            <w:vAlign w:val="center"/>
          </w:tcPr>
          <w:p w14:paraId="34649E8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1229AD0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611AA1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65F6BE3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9916A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1CA6FD82">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材料管理</w:t>
            </w:r>
          </w:p>
        </w:tc>
        <w:tc>
          <w:tcPr>
            <w:tcW w:w="722" w:type="pct"/>
            <w:noWrap w:val="0"/>
            <w:vAlign w:val="center"/>
          </w:tcPr>
          <w:p w14:paraId="7C29490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4EFC101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EA77C0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525AEA2C">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45F66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30CA0703">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计划管理</w:t>
            </w:r>
          </w:p>
        </w:tc>
        <w:tc>
          <w:tcPr>
            <w:tcW w:w="722" w:type="pct"/>
            <w:noWrap w:val="0"/>
            <w:vAlign w:val="center"/>
          </w:tcPr>
          <w:p w14:paraId="20BD9F4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C03C3D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191F6D0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0A3ECB8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D6ADA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7EA5C010">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安全管理</w:t>
            </w:r>
          </w:p>
        </w:tc>
        <w:tc>
          <w:tcPr>
            <w:tcW w:w="722" w:type="pct"/>
            <w:noWrap w:val="0"/>
            <w:vAlign w:val="center"/>
          </w:tcPr>
          <w:p w14:paraId="3CF5B87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B12718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09C65FC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639A061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39DEF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restart"/>
            <w:tcBorders>
              <w:top w:val="single" w:color="auto" w:sz="6" w:space="0"/>
            </w:tcBorders>
            <w:noWrap w:val="0"/>
            <w:vAlign w:val="center"/>
          </w:tcPr>
          <w:p w14:paraId="79245061">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其他人员</w:t>
            </w:r>
          </w:p>
        </w:tc>
        <w:tc>
          <w:tcPr>
            <w:tcW w:w="722" w:type="pct"/>
            <w:noWrap w:val="0"/>
            <w:vAlign w:val="center"/>
          </w:tcPr>
          <w:p w14:paraId="722232A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5E6D019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076F142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1F839182">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AA241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23D7257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tcBorders>
              <w:bottom w:val="nil"/>
            </w:tcBorders>
            <w:noWrap w:val="0"/>
            <w:vAlign w:val="center"/>
          </w:tcPr>
          <w:p w14:paraId="54127E4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bottom w:val="nil"/>
            </w:tcBorders>
            <w:noWrap w:val="0"/>
            <w:vAlign w:val="center"/>
          </w:tcPr>
          <w:p w14:paraId="18EAEEC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bottom w:val="nil"/>
            </w:tcBorders>
            <w:noWrap w:val="0"/>
            <w:vAlign w:val="center"/>
          </w:tcPr>
          <w:p w14:paraId="3BF39A6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tcBorders>
              <w:bottom w:val="nil"/>
            </w:tcBorders>
            <w:noWrap w:val="0"/>
            <w:vAlign w:val="center"/>
          </w:tcPr>
          <w:p w14:paraId="117CF6E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0F1CA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036CE85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261B0F9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E3B74C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5CB9894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53BF5CD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D3A28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4D7B955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6E12F1E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259BDE6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650B85C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14F9AC56">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610C1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55BC81D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7D425C8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1363625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79576C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69DD2E62">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ED0CA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tcBorders>
              <w:bottom w:val="single" w:color="auto" w:sz="12" w:space="0"/>
            </w:tcBorders>
            <w:noWrap w:val="0"/>
            <w:vAlign w:val="center"/>
          </w:tcPr>
          <w:p w14:paraId="0E6A4D0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tcBorders>
              <w:bottom w:val="single" w:color="auto" w:sz="12" w:space="0"/>
            </w:tcBorders>
            <w:noWrap w:val="0"/>
            <w:vAlign w:val="center"/>
          </w:tcPr>
          <w:p w14:paraId="35F658F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bottom w:val="single" w:color="auto" w:sz="12" w:space="0"/>
            </w:tcBorders>
            <w:noWrap w:val="0"/>
            <w:vAlign w:val="center"/>
          </w:tcPr>
          <w:p w14:paraId="780352B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bottom w:val="single" w:color="auto" w:sz="12" w:space="0"/>
            </w:tcBorders>
            <w:noWrap w:val="0"/>
            <w:vAlign w:val="center"/>
          </w:tcPr>
          <w:p w14:paraId="4F6F54F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tcBorders>
              <w:bottom w:val="single" w:color="auto" w:sz="12" w:space="0"/>
            </w:tcBorders>
            <w:noWrap w:val="0"/>
            <w:vAlign w:val="center"/>
          </w:tcPr>
          <w:p w14:paraId="3A2E8D35">
            <w:pPr>
              <w:pStyle w:val="2"/>
              <w:keepNext/>
              <w:spacing w:after="0" w:line="360" w:lineRule="auto"/>
              <w:ind w:left="63" w:right="63"/>
              <w:rPr>
                <w:rFonts w:hint="eastAsia" w:ascii="宋体" w:hAnsi="宋体" w:eastAsia="宋体" w:cs="宋体"/>
                <w:color w:val="000000"/>
                <w:kern w:val="2"/>
                <w:sz w:val="24"/>
                <w:szCs w:val="24"/>
                <w:lang w:val="en-US" w:eastAsia="zh-CN"/>
              </w:rPr>
            </w:pPr>
          </w:p>
        </w:tc>
      </w:tr>
    </w:tbl>
    <w:p w14:paraId="78814E8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br w:type="page"/>
      </w:r>
      <w:bookmarkStart w:id="566" w:name="_Toc267261701"/>
      <w:r>
        <w:rPr>
          <w:rFonts w:hint="eastAsia" w:ascii="宋体" w:hAnsi="宋体" w:eastAsia="宋体" w:cs="宋体"/>
          <w:color w:val="000000"/>
          <w:sz w:val="24"/>
          <w:szCs w:val="24"/>
        </w:rPr>
        <w:t>附</w:t>
      </w:r>
      <w:bookmarkStart w:id="567" w:name="_Toc296891271"/>
      <w:bookmarkStart w:id="568" w:name="_Toc296891059"/>
      <w:bookmarkStart w:id="569" w:name="_Toc296347230"/>
      <w:bookmarkStart w:id="570" w:name="_Toc296944570"/>
      <w:bookmarkStart w:id="571" w:name="_Toc296503231"/>
      <w:bookmarkStart w:id="572" w:name="_Toc296346732"/>
      <w:r>
        <w:rPr>
          <w:rFonts w:hint="eastAsia" w:ascii="宋体" w:hAnsi="宋体" w:eastAsia="宋体" w:cs="宋体"/>
          <w:color w:val="000000"/>
          <w:sz w:val="24"/>
          <w:szCs w:val="24"/>
        </w:rPr>
        <w:t>件8：</w:t>
      </w:r>
    </w:p>
    <w:bookmarkEnd w:id="566"/>
    <w:bookmarkEnd w:id="567"/>
    <w:bookmarkEnd w:id="568"/>
    <w:bookmarkEnd w:id="569"/>
    <w:bookmarkEnd w:id="570"/>
    <w:bookmarkEnd w:id="571"/>
    <w:bookmarkEnd w:id="572"/>
    <w:p w14:paraId="035B42B7">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履约担保</w:t>
      </w:r>
    </w:p>
    <w:p w14:paraId="1D85910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rPr>
        <w:t>（发包人名称）：</w:t>
      </w:r>
    </w:p>
    <w:p w14:paraId="73D2399C">
      <w:pPr>
        <w:spacing w:line="360" w:lineRule="auto"/>
        <w:rPr>
          <w:rFonts w:hint="eastAsia" w:ascii="宋体" w:hAnsi="宋体" w:eastAsia="宋体" w:cs="宋体"/>
          <w:color w:val="000000"/>
          <w:sz w:val="24"/>
          <w:szCs w:val="24"/>
        </w:rPr>
      </w:pPr>
    </w:p>
    <w:p w14:paraId="5EFD32C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鉴于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（发包人名称，以下简称“发包人”）与</w:t>
      </w:r>
    </w:p>
    <w:p w14:paraId="6915735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（承包人名称）（以下称“承包人”）于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（工程名称）施工及有关事项协商一致共同签订《建设工程施工合同》。我方愿意无条件地、不可撤销地就承包人履行与你方签订的合同，向你方提供连带责任担保。 </w:t>
      </w:r>
    </w:p>
    <w:p w14:paraId="62D35F2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 担保金额人民币（大写）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750E77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 担保有效期自你方与承包人签订的合同生效之日起至你方签发或应签发工程接收证书之日止。</w:t>
      </w:r>
    </w:p>
    <w:p w14:paraId="36555FE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 在本担保有效期内，因承包人违反合同约定的义务给你方造成经济损失时，我方在收到你方以书面形式提出的在担保金额内的赔偿要求后，在7天内无条件支付。</w:t>
      </w:r>
    </w:p>
    <w:p w14:paraId="275C381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 你方和承包人按合同约定变更合同时，我方承担本担保规定的义务不变。</w:t>
      </w:r>
    </w:p>
    <w:p w14:paraId="1D8E8E5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 因本保函发生的纠纷，可由双方协商解决，协商不成的，任何一方均可提请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仲裁委员会仲裁。</w:t>
      </w:r>
    </w:p>
    <w:p w14:paraId="526F60C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 本保函自我方法定代表人（或其授权代理人）签字并加盖公章之日起生效。</w:t>
      </w:r>
    </w:p>
    <w:p w14:paraId="6FB6B250">
      <w:pPr>
        <w:spacing w:line="360" w:lineRule="auto"/>
        <w:rPr>
          <w:rFonts w:hint="eastAsia" w:ascii="宋体" w:hAnsi="宋体" w:eastAsia="宋体" w:cs="宋体"/>
          <w:color w:val="000000"/>
          <w:sz w:val="24"/>
          <w:szCs w:val="24"/>
        </w:rPr>
      </w:pPr>
    </w:p>
    <w:p w14:paraId="4B94AD5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担 保 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（盖单位章）</w:t>
      </w:r>
    </w:p>
    <w:p w14:paraId="534BF04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（签字）</w:t>
      </w:r>
    </w:p>
    <w:p w14:paraId="70D9DDD9">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w:t>
      </w:r>
    </w:p>
    <w:p w14:paraId="4A74010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w:t>
      </w:r>
    </w:p>
    <w:p w14:paraId="56263758">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p>
    <w:p w14:paraId="6E88F3E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p>
    <w:p w14:paraId="3E617716">
      <w:pPr>
        <w:spacing w:line="360" w:lineRule="auto"/>
        <w:jc w:val="left"/>
        <w:rPr>
          <w:rFonts w:hint="eastAsia" w:ascii="宋体" w:hAnsi="宋体" w:eastAsia="宋体" w:cs="宋体"/>
          <w:color w:val="000000"/>
          <w:sz w:val="24"/>
          <w:szCs w:val="24"/>
          <w:u w:val="single"/>
        </w:rPr>
      </w:pPr>
    </w:p>
    <w:p w14:paraId="5D988D6A">
      <w:pPr>
        <w:spacing w:line="360" w:lineRule="auto"/>
        <w:ind w:left="1899" w:hanging="1519" w:hangingChars="633"/>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0DEDE1B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573" w:name="_Toc267261702"/>
      <w:bookmarkStart w:id="574" w:name="_Toc296891060"/>
      <w:bookmarkStart w:id="575" w:name="_Toc296503232"/>
      <w:bookmarkStart w:id="576" w:name="_Toc296347231"/>
      <w:bookmarkStart w:id="577" w:name="_Toc296891272"/>
      <w:bookmarkStart w:id="578" w:name="_Toc296346733"/>
      <w:bookmarkStart w:id="579" w:name="_Toc296944571"/>
      <w:r>
        <w:rPr>
          <w:rFonts w:hint="eastAsia" w:ascii="宋体" w:hAnsi="宋体" w:eastAsia="宋体" w:cs="宋体"/>
          <w:color w:val="000000"/>
          <w:sz w:val="24"/>
          <w:szCs w:val="24"/>
        </w:rPr>
        <w:t>件9 ：</w:t>
      </w:r>
    </w:p>
    <w:bookmarkEnd w:id="573"/>
    <w:bookmarkEnd w:id="574"/>
    <w:bookmarkEnd w:id="575"/>
    <w:bookmarkEnd w:id="576"/>
    <w:bookmarkEnd w:id="577"/>
    <w:bookmarkEnd w:id="578"/>
    <w:bookmarkEnd w:id="579"/>
    <w:p w14:paraId="61C906EE">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预付款担保</w:t>
      </w:r>
    </w:p>
    <w:p w14:paraId="52394226">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（发包人名称）：</w:t>
      </w:r>
    </w:p>
    <w:p w14:paraId="54B1A4DC">
      <w:pPr>
        <w:spacing w:line="360" w:lineRule="auto"/>
        <w:rPr>
          <w:rFonts w:hint="eastAsia" w:ascii="宋体" w:hAnsi="宋体" w:eastAsia="宋体" w:cs="宋体"/>
          <w:color w:val="000000"/>
          <w:sz w:val="24"/>
          <w:szCs w:val="24"/>
        </w:rPr>
      </w:pPr>
    </w:p>
    <w:p w14:paraId="40C4930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根据</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（承包人名称）（以下称“承包人”）与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（发包人名称）（以下简称“发包人”）</w:t>
      </w:r>
    </w:p>
    <w:p w14:paraId="3D3D196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日签订的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（工程名称）《建设工程施工合同》，承包人按约定的金额向你方提交一份预付款担保，即有权得到你方支付相等金额的预付款。我方愿意就你方提供给承包人的预付款为承包人提供连带责任担保。</w:t>
      </w:r>
    </w:p>
    <w:p w14:paraId="1AD57FF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 担保金额人民币（大写）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D819A7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 担保有效期自预付款支付给承包人起生效，至你方签发的进度款支付证书说明已完全扣清止。</w:t>
      </w:r>
    </w:p>
    <w:p w14:paraId="2ADBE7B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530AACC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 你方和承包人按合同约定变更合同时，我方承担本保函规定的义务不变。</w:t>
      </w:r>
    </w:p>
    <w:p w14:paraId="456FFD62">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5. 因本保函发生的纠纷，可由双方协商解决，协商不成的，任何一方均可提请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仲裁委员会仲裁。</w:t>
      </w:r>
    </w:p>
    <w:p w14:paraId="057AF97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6. 本保函自我方法定代表人（或其授权代理人）签字并加盖公章之日起生效。</w:t>
      </w:r>
    </w:p>
    <w:p w14:paraId="0242BEF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担保人：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（盖单位章）</w:t>
      </w:r>
    </w:p>
    <w:p w14:paraId="3EAC058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（签字）</w:t>
      </w:r>
    </w:p>
    <w:p w14:paraId="6E936DC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50D678AA">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3043B973">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5A9CCFE2">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2469E1B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1D759C09">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color w:val="000000"/>
          <w:sz w:val="24"/>
          <w:szCs w:val="24"/>
        </w:rPr>
      </w:pPr>
      <w:r>
        <w:rPr>
          <w:rFonts w:hint="eastAsia" w:ascii="宋体" w:hAnsi="宋体" w:eastAsia="宋体" w:cs="宋体"/>
          <w:b/>
          <w:color w:val="000000"/>
          <w:sz w:val="24"/>
          <w:szCs w:val="24"/>
        </w:rPr>
        <w:br w:type="page"/>
      </w:r>
      <w:r>
        <w:rPr>
          <w:rFonts w:hint="eastAsia" w:ascii="宋体" w:hAnsi="宋体" w:eastAsia="宋体" w:cs="宋体"/>
          <w:color w:val="000000"/>
          <w:sz w:val="24"/>
          <w:szCs w:val="24"/>
        </w:rPr>
        <w:t>附</w:t>
      </w:r>
      <w:bookmarkStart w:id="580" w:name="_Toc296944572"/>
      <w:bookmarkStart w:id="581" w:name="_Toc296891061"/>
      <w:bookmarkStart w:id="582" w:name="_Toc296346734"/>
      <w:bookmarkStart w:id="583" w:name="_Toc296503233"/>
      <w:bookmarkStart w:id="584" w:name="_Toc296891273"/>
      <w:bookmarkStart w:id="585" w:name="_Toc296347232"/>
      <w:r>
        <w:rPr>
          <w:rFonts w:hint="eastAsia" w:ascii="宋体" w:hAnsi="宋体" w:eastAsia="宋体" w:cs="宋体"/>
          <w:color w:val="000000"/>
          <w:sz w:val="24"/>
          <w:szCs w:val="24"/>
        </w:rPr>
        <w:t xml:space="preserve">件10:  </w:t>
      </w:r>
    </w:p>
    <w:bookmarkEnd w:id="580"/>
    <w:bookmarkEnd w:id="581"/>
    <w:bookmarkEnd w:id="582"/>
    <w:bookmarkEnd w:id="583"/>
    <w:bookmarkEnd w:id="584"/>
    <w:bookmarkEnd w:id="585"/>
    <w:p w14:paraId="7DFAA7F8">
      <w:pPr>
        <w:keepNext w:val="0"/>
        <w:keepLines w:val="0"/>
        <w:pageBreakBefore w:val="0"/>
        <w:widowControl w:val="0"/>
        <w:kinsoku/>
        <w:wordWrap/>
        <w:overflowPunct/>
        <w:topLinePunct w:val="0"/>
        <w:autoSpaceDE/>
        <w:autoSpaceDN/>
        <w:bidi w:val="0"/>
        <w:adjustRightInd/>
        <w:snapToGrid/>
        <w:spacing w:before="156" w:beforeLines="50" w:after="156" w:afterLines="50" w:line="42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支付担保</w:t>
      </w:r>
    </w:p>
    <w:p w14:paraId="283FEFDA">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（承包人）：</w:t>
      </w:r>
    </w:p>
    <w:p w14:paraId="3E935C21">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鉴于你方作为承包人已经与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（发包人名称）（以下称“发包人”）于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日签订了</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（工程名称）《建设工程施工合同》（以下称“主合同”），应发包人的申请，我方愿就发包人履行主合同约定的工程款支付义务以保证的方式向你方提供如下担保：</w:t>
      </w:r>
    </w:p>
    <w:p w14:paraId="6B10BAF0">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一、保证的范围及保证金额</w:t>
      </w:r>
    </w:p>
    <w:p w14:paraId="01DDB8C2">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 我方的保证范围是主合同约定的工程款。</w:t>
      </w:r>
    </w:p>
    <w:p w14:paraId="0A0F487A">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 本保函所称主合同约定的工程款是指主合同约定的除工程质量保证金以外的合同价款。</w:t>
      </w:r>
    </w:p>
    <w:p w14:paraId="6006370F">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 我方保证的金额是主合同约定的工程款的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%，数额最高不超过人民币元（大写：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1C6E4E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二、保证的方式及保证期间</w:t>
      </w:r>
    </w:p>
    <w:p w14:paraId="4CDABCB9">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 我方保证的方式为：连带责任保证。</w:t>
      </w:r>
    </w:p>
    <w:p w14:paraId="674DD9AB">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color w:val="000000"/>
          <w:sz w:val="24"/>
          <w:szCs w:val="24"/>
        </w:rPr>
        <w:t>2. 我方保证的期间为：自本合同生效之日起至主合同约定的工</w:t>
      </w:r>
      <w:r>
        <w:rPr>
          <w:rFonts w:hint="eastAsia" w:ascii="宋体" w:hAnsi="宋体" w:eastAsia="宋体" w:cs="宋体"/>
          <w:sz w:val="24"/>
          <w:szCs w:val="24"/>
        </w:rPr>
        <w:t>程款支付完毕之日后    日内。</w:t>
      </w:r>
    </w:p>
    <w:p w14:paraId="05805DF5">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 你方与发包人协议变更工程款支付日期的，经我方书面同意后，保证期间按照变更后的支付日期做相应调整。</w:t>
      </w:r>
    </w:p>
    <w:p w14:paraId="6565B4E0">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三、承担保证责任的形式</w:t>
      </w:r>
    </w:p>
    <w:p w14:paraId="429B3518">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我方承担保证责任的形式是代为支付。发包人未按主合同约定向你方支付工程款的，由我方在保证金额内代为支付。</w:t>
      </w:r>
    </w:p>
    <w:p w14:paraId="6A969AFF">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四、代偿的安排</w:t>
      </w:r>
    </w:p>
    <w:p w14:paraId="71F6CB97">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1. 你方要求我方承担保证责任的，应向我方发出书面索赔通知及发包人未支付主合同约定工程款的证明材料。索赔通知应写明要求索赔的金额，支付款项应到达的账号。</w:t>
      </w:r>
    </w:p>
    <w:p w14:paraId="5DE3CAA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22CC5C8F">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3. 我方收到你方的书面索赔通知及相应的证明材料后７天内无条件支付。</w:t>
      </w:r>
    </w:p>
    <w:p w14:paraId="18999B3E">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五、保证责任的解除</w:t>
      </w:r>
    </w:p>
    <w:p w14:paraId="0DE68EE9">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1. 在本保函承诺的保证期间内，你方未书面向我方主张保证责任的，自保证期间届满次日起，我方保证责任解除。</w:t>
      </w:r>
    </w:p>
    <w:p w14:paraId="5E38ABD9">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2. 发包人按主合同约定履行了工程款的全部支付义务的，自本保函承诺的保证期间届满次日起，我方保证责任解除。</w:t>
      </w:r>
    </w:p>
    <w:p w14:paraId="2EE8AA4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3. 我方按照本保函向你方履行保证责任所支付金额达到本保函保证金额时，自我方向你方支付（支付款项从我方账户划出）之日起，保证责任即解除。</w:t>
      </w:r>
    </w:p>
    <w:p w14:paraId="04EBFFC0">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4. 按照法律法规的规定或出现应解除我方保证责任的其他情形的，我方在本保函项下的保证责任亦解除。</w:t>
      </w:r>
    </w:p>
    <w:p w14:paraId="15AE2970">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5. 我方解除保证责任后，你方应自我方保证责任解除之日起  个工作日内，将本保函原件返还我方。</w:t>
      </w:r>
    </w:p>
    <w:p w14:paraId="6DF22844">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六、免责条款</w:t>
      </w:r>
    </w:p>
    <w:p w14:paraId="39610E5B">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1. 因你方违约致使发包人不能履行义务的，我方不承担保证责任。</w:t>
      </w:r>
    </w:p>
    <w:p w14:paraId="43DE2B0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2. 依照法律法规的规定或你方与发包人的另行约定，免除发包人部分或全部义务的，我方亦免除其相应的保证责任。</w:t>
      </w:r>
    </w:p>
    <w:p w14:paraId="53D04212">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158E12D0">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4. 因不可抗力造成发包人不能履行义务的，我方不承担保证责任。</w:t>
      </w:r>
    </w:p>
    <w:p w14:paraId="5328A7F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七、争议解决</w:t>
      </w:r>
    </w:p>
    <w:p w14:paraId="36E30D00">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因本保函或本保函相关事项发生的纠纷，可由双方协商解决，协商不成的，按下列第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种方式解决：</w:t>
      </w:r>
    </w:p>
    <w:p w14:paraId="11A25642">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（1）向</w:t>
      </w:r>
      <w:r>
        <w:rPr>
          <w:rFonts w:hint="eastAsia" w:ascii="宋体" w:hAnsi="宋体" w:eastAsia="宋体" w:cs="宋体"/>
          <w:sz w:val="24"/>
          <w:szCs w:val="24"/>
          <w:u w:val="single"/>
        </w:rPr>
        <w:t xml:space="preserve">                     </w:t>
      </w:r>
      <w:r>
        <w:rPr>
          <w:rFonts w:hint="eastAsia" w:ascii="宋体" w:hAnsi="宋体" w:eastAsia="宋体" w:cs="宋体"/>
          <w:sz w:val="24"/>
          <w:szCs w:val="24"/>
        </w:rPr>
        <w:t>仲裁委员会申请仲裁；</w:t>
      </w:r>
    </w:p>
    <w:p w14:paraId="20472B78">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（2）向</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人民法院起诉。</w:t>
      </w:r>
    </w:p>
    <w:p w14:paraId="2446214B">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八、保函的生效</w:t>
      </w:r>
    </w:p>
    <w:p w14:paraId="4A798F9D">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本保函自我方法定代表人（或其授权代理人）签字并加盖公章之日起生效。</w:t>
      </w:r>
    </w:p>
    <w:p w14:paraId="444DAC51">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p>
    <w:p w14:paraId="349F8484">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p>
    <w:p w14:paraId="470649A5">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担保人：                                   （盖章）</w:t>
      </w:r>
    </w:p>
    <w:p w14:paraId="0131D351">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法定代表人或委托代理人：                   （签字）</w:t>
      </w:r>
    </w:p>
    <w:p w14:paraId="24E64CC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地    址：                                        </w:t>
      </w:r>
    </w:p>
    <w:p w14:paraId="0E0C22AD">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邮政编码：                                        </w:t>
      </w:r>
    </w:p>
    <w:p w14:paraId="277BDCA9">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传    真：                                        </w:t>
      </w:r>
    </w:p>
    <w:p w14:paraId="25BE2A4D">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p>
    <w:p w14:paraId="64CE621D">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年      月      日</w:t>
      </w:r>
    </w:p>
    <w:p w14:paraId="7113ECAA">
      <w:pPr>
        <w:bidi w:val="0"/>
        <w:spacing w:line="360" w:lineRule="auto"/>
        <w:jc w:val="left"/>
        <w:rPr>
          <w:rFonts w:hint="eastAsia" w:ascii="宋体" w:hAnsi="宋体" w:eastAsia="宋体" w:cs="宋体"/>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附件11：</w:t>
      </w:r>
    </w:p>
    <w:p w14:paraId="7F530396">
      <w:pPr>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11-1：材料暂估价表</w:t>
      </w:r>
    </w:p>
    <w:tbl>
      <w:tblPr>
        <w:tblStyle w:val="41"/>
        <w:tblW w:w="4997"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3"/>
        <w:gridCol w:w="1830"/>
        <w:gridCol w:w="783"/>
        <w:gridCol w:w="713"/>
        <w:gridCol w:w="1245"/>
        <w:gridCol w:w="1306"/>
        <w:gridCol w:w="1567"/>
      </w:tblGrid>
      <w:tr w14:paraId="3F65E1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tcBorders>
              <w:top w:val="single" w:color="auto" w:sz="12" w:space="0"/>
              <w:bottom w:val="double" w:color="auto" w:sz="6" w:space="0"/>
            </w:tcBorders>
            <w:noWrap w:val="0"/>
            <w:vAlign w:val="top"/>
          </w:tcPr>
          <w:p w14:paraId="11334264">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094" w:type="pct"/>
            <w:tcBorders>
              <w:top w:val="single" w:color="auto" w:sz="12" w:space="0"/>
              <w:bottom w:val="double" w:color="auto" w:sz="6" w:space="0"/>
            </w:tcBorders>
            <w:noWrap w:val="0"/>
            <w:vAlign w:val="top"/>
          </w:tcPr>
          <w:p w14:paraId="49CD81C8">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名称</w:t>
            </w:r>
          </w:p>
        </w:tc>
        <w:tc>
          <w:tcPr>
            <w:tcW w:w="468" w:type="pct"/>
            <w:tcBorders>
              <w:top w:val="single" w:color="auto" w:sz="12" w:space="0"/>
              <w:bottom w:val="double" w:color="auto" w:sz="6" w:space="0"/>
            </w:tcBorders>
            <w:noWrap w:val="0"/>
            <w:vAlign w:val="top"/>
          </w:tcPr>
          <w:p w14:paraId="06448D76">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w:t>
            </w:r>
          </w:p>
        </w:tc>
        <w:tc>
          <w:tcPr>
            <w:tcW w:w="426" w:type="pct"/>
            <w:tcBorders>
              <w:top w:val="single" w:color="auto" w:sz="12" w:space="0"/>
              <w:bottom w:val="double" w:color="auto" w:sz="6" w:space="0"/>
            </w:tcBorders>
            <w:noWrap w:val="0"/>
            <w:vAlign w:val="top"/>
          </w:tcPr>
          <w:p w14:paraId="118ECC9F">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744" w:type="pct"/>
            <w:tcBorders>
              <w:top w:val="single" w:color="auto" w:sz="12" w:space="0"/>
              <w:bottom w:val="double" w:color="auto" w:sz="6" w:space="0"/>
            </w:tcBorders>
            <w:noWrap w:val="0"/>
            <w:vAlign w:val="top"/>
          </w:tcPr>
          <w:p w14:paraId="00234078">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单价（元）</w:t>
            </w:r>
          </w:p>
        </w:tc>
        <w:tc>
          <w:tcPr>
            <w:tcW w:w="781" w:type="pct"/>
            <w:tcBorders>
              <w:top w:val="single" w:color="auto" w:sz="12" w:space="0"/>
              <w:bottom w:val="double" w:color="auto" w:sz="6" w:space="0"/>
            </w:tcBorders>
            <w:noWrap w:val="0"/>
            <w:vAlign w:val="top"/>
          </w:tcPr>
          <w:p w14:paraId="46C6012F">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合价（元）</w:t>
            </w:r>
          </w:p>
        </w:tc>
        <w:tc>
          <w:tcPr>
            <w:tcW w:w="937" w:type="pct"/>
            <w:tcBorders>
              <w:top w:val="single" w:color="auto" w:sz="12" w:space="0"/>
              <w:bottom w:val="double" w:color="auto" w:sz="6" w:space="0"/>
            </w:tcBorders>
            <w:noWrap w:val="0"/>
            <w:vAlign w:val="top"/>
          </w:tcPr>
          <w:p w14:paraId="08F57E4F">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72B987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tcBorders>
              <w:top w:val="double" w:color="auto" w:sz="6" w:space="0"/>
              <w:bottom w:val="single" w:color="auto" w:sz="6" w:space="0"/>
            </w:tcBorders>
            <w:noWrap w:val="0"/>
            <w:vAlign w:val="top"/>
          </w:tcPr>
          <w:p w14:paraId="6EC5685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tcBorders>
              <w:top w:val="double" w:color="auto" w:sz="6" w:space="0"/>
              <w:bottom w:val="single" w:color="auto" w:sz="6" w:space="0"/>
            </w:tcBorders>
            <w:noWrap w:val="0"/>
            <w:vAlign w:val="top"/>
          </w:tcPr>
          <w:p w14:paraId="439D5E7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tcBorders>
              <w:top w:val="double" w:color="auto" w:sz="6" w:space="0"/>
              <w:bottom w:val="single" w:color="auto" w:sz="6" w:space="0"/>
            </w:tcBorders>
            <w:noWrap w:val="0"/>
            <w:vAlign w:val="top"/>
          </w:tcPr>
          <w:p w14:paraId="580C128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tcBorders>
              <w:top w:val="double" w:color="auto" w:sz="6" w:space="0"/>
              <w:bottom w:val="single" w:color="auto" w:sz="6" w:space="0"/>
            </w:tcBorders>
            <w:noWrap w:val="0"/>
            <w:vAlign w:val="top"/>
          </w:tcPr>
          <w:p w14:paraId="38898AC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tcBorders>
              <w:top w:val="double" w:color="auto" w:sz="6" w:space="0"/>
              <w:bottom w:val="single" w:color="auto" w:sz="6" w:space="0"/>
            </w:tcBorders>
            <w:noWrap w:val="0"/>
            <w:vAlign w:val="top"/>
          </w:tcPr>
          <w:p w14:paraId="5FBB74A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tcBorders>
              <w:top w:val="double" w:color="auto" w:sz="6" w:space="0"/>
              <w:bottom w:val="single" w:color="auto" w:sz="6" w:space="0"/>
            </w:tcBorders>
            <w:noWrap w:val="0"/>
            <w:vAlign w:val="top"/>
          </w:tcPr>
          <w:p w14:paraId="0B9594C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tcBorders>
              <w:top w:val="double" w:color="auto" w:sz="6" w:space="0"/>
              <w:bottom w:val="single" w:color="auto" w:sz="6" w:space="0"/>
            </w:tcBorders>
            <w:noWrap w:val="0"/>
            <w:vAlign w:val="top"/>
          </w:tcPr>
          <w:p w14:paraId="12119D1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662CA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tcBorders>
              <w:top w:val="nil"/>
            </w:tcBorders>
            <w:noWrap w:val="0"/>
            <w:vAlign w:val="top"/>
          </w:tcPr>
          <w:p w14:paraId="1A40127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tcBorders>
              <w:top w:val="nil"/>
            </w:tcBorders>
            <w:noWrap w:val="0"/>
            <w:vAlign w:val="top"/>
          </w:tcPr>
          <w:p w14:paraId="72E7165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tcBorders>
              <w:top w:val="nil"/>
            </w:tcBorders>
            <w:noWrap w:val="0"/>
            <w:vAlign w:val="top"/>
          </w:tcPr>
          <w:p w14:paraId="478072F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tcBorders>
              <w:top w:val="nil"/>
            </w:tcBorders>
            <w:noWrap w:val="0"/>
            <w:vAlign w:val="top"/>
          </w:tcPr>
          <w:p w14:paraId="3A392EA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tcBorders>
              <w:top w:val="nil"/>
            </w:tcBorders>
            <w:noWrap w:val="0"/>
            <w:vAlign w:val="top"/>
          </w:tcPr>
          <w:p w14:paraId="6436649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tcBorders>
              <w:top w:val="nil"/>
            </w:tcBorders>
            <w:noWrap w:val="0"/>
            <w:vAlign w:val="top"/>
          </w:tcPr>
          <w:p w14:paraId="7864CCA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tcBorders>
              <w:top w:val="nil"/>
            </w:tcBorders>
            <w:noWrap w:val="0"/>
            <w:vAlign w:val="top"/>
          </w:tcPr>
          <w:p w14:paraId="736806F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F4669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0CDC59E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1881CDA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7524500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9CB172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73ED48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6E21F50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0C40F78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89E2C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73E8454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74D58A1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1CB605E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72561B6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5ECA0D1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8DCF86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31C4BBA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B1532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7341407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1472E5A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394FFCF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5DE6E87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D77EDE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6CB7773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00480A5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A90C3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1864881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1D07FF0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513C840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0CDC99B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00B574A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2A724E8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1465CE2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6B0B3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3DEAD81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5F8B660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7717ED0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D0C728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396D66A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6ED9159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72C8B8E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B48ED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75DB665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3B3C1B4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430C3A2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0DFA9A2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5262CB1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2127001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45D1DB9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F06C3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663C9F4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5991032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185EBDC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86F357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487D69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657097B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14D328B0">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A243C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197A6D4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6B5DF36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3127102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7E8EC96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2261969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C350EF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0C380A7B">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44659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3F8B01C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6B7AE71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6E89105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044BFA0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89A656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754BF56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14ADBEB7">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45613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49CB317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47D00C7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3189DD3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640B250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50DA487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00894B0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616692A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9B491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247FCF8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3655503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531A0AB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41F86E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7B23BA6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671D982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54B30EEB">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54728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76BE0AD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26BA66B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68EAA40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465B1A6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443906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E23348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718DCD0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65E4B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73DE3EF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46DECD9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6A0DB8B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3EEB028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7F14152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67F02C4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3F4BB56D">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2E850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66F9D50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2C1D4F7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260004E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B642FD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1CA0A6C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193B129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2DE27C1B">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D4509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4B7DBDC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0752039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03C90A2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05B4195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61A0611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59774B7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3555645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5D6CB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4611378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430A9C4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39FA143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1A87D77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0A703D8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7B1A838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15734BEC">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06D9D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70D8B1F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4E67F97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0897951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0F69B74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005A51A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705D363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3C3FD2B2">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36F0B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54AA5B6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502AECC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6843082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CCB436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7955FB4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711C678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20F88AD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60A62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47648D6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2E43CA4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72D3CD0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1C41621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3E9D096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3FF727D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40C36C7D">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D1BCB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790FA13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53F9E60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312237F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7739EEB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3FFF67B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6AE577B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4D8C44E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63811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48BA0A5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5F09A1F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0E0CDAB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DD31E4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1C4412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30606AA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1A797BFF">
            <w:pPr>
              <w:pStyle w:val="2"/>
              <w:keepNext/>
              <w:spacing w:after="0" w:line="360" w:lineRule="auto"/>
              <w:ind w:left="63" w:right="63"/>
              <w:rPr>
                <w:rFonts w:hint="eastAsia" w:ascii="宋体" w:hAnsi="宋体" w:eastAsia="宋体" w:cs="宋体"/>
                <w:color w:val="000000"/>
                <w:kern w:val="2"/>
                <w:sz w:val="24"/>
                <w:szCs w:val="24"/>
                <w:lang w:val="en-US" w:eastAsia="zh-CN"/>
              </w:rPr>
            </w:pPr>
          </w:p>
        </w:tc>
      </w:tr>
    </w:tbl>
    <w:p w14:paraId="7CE9A954">
      <w:pPr>
        <w:spacing w:before="156" w:beforeLines="50" w:after="156" w:afterLines="50" w:line="360" w:lineRule="auto"/>
        <w:rPr>
          <w:rFonts w:hint="eastAsia" w:ascii="宋体" w:hAnsi="宋体" w:eastAsia="宋体" w:cs="宋体"/>
          <w:color w:val="000000"/>
          <w:sz w:val="24"/>
          <w:szCs w:val="24"/>
        </w:rPr>
      </w:pPr>
    </w:p>
    <w:p w14:paraId="78367536">
      <w:pPr>
        <w:spacing w:before="156" w:beforeLines="50" w:after="156" w:afterLines="50" w:line="360" w:lineRule="auto"/>
        <w:jc w:val="center"/>
        <w:rPr>
          <w:rFonts w:hint="eastAsia" w:ascii="宋体" w:hAnsi="宋体" w:eastAsia="宋体" w:cs="宋体"/>
          <w:color w:val="000000"/>
          <w:sz w:val="24"/>
          <w:szCs w:val="24"/>
        </w:rPr>
      </w:pPr>
    </w:p>
    <w:p w14:paraId="3644DDAD">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11-2：工程设备暂估价表</w:t>
      </w:r>
    </w:p>
    <w:tbl>
      <w:tblPr>
        <w:tblStyle w:val="41"/>
        <w:tblW w:w="4997"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2"/>
        <w:gridCol w:w="1829"/>
        <w:gridCol w:w="783"/>
        <w:gridCol w:w="713"/>
        <w:gridCol w:w="1245"/>
        <w:gridCol w:w="1307"/>
        <w:gridCol w:w="1568"/>
      </w:tblGrid>
      <w:tr w14:paraId="3F7298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tcBorders>
              <w:top w:val="single" w:color="auto" w:sz="12" w:space="0"/>
              <w:bottom w:val="double" w:color="auto" w:sz="6" w:space="0"/>
            </w:tcBorders>
            <w:noWrap w:val="0"/>
            <w:vAlign w:val="top"/>
          </w:tcPr>
          <w:p w14:paraId="2830B523">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093" w:type="pct"/>
            <w:tcBorders>
              <w:top w:val="single" w:color="auto" w:sz="12" w:space="0"/>
              <w:bottom w:val="double" w:color="auto" w:sz="6" w:space="0"/>
            </w:tcBorders>
            <w:noWrap w:val="0"/>
            <w:vAlign w:val="top"/>
          </w:tcPr>
          <w:p w14:paraId="24B52D9A">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名称</w:t>
            </w:r>
          </w:p>
        </w:tc>
        <w:tc>
          <w:tcPr>
            <w:tcW w:w="468" w:type="pct"/>
            <w:tcBorders>
              <w:top w:val="single" w:color="auto" w:sz="12" w:space="0"/>
              <w:bottom w:val="double" w:color="auto" w:sz="6" w:space="0"/>
            </w:tcBorders>
            <w:noWrap w:val="0"/>
            <w:vAlign w:val="top"/>
          </w:tcPr>
          <w:p w14:paraId="38D2E27D">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w:t>
            </w:r>
          </w:p>
        </w:tc>
        <w:tc>
          <w:tcPr>
            <w:tcW w:w="426" w:type="pct"/>
            <w:tcBorders>
              <w:top w:val="single" w:color="auto" w:sz="12" w:space="0"/>
              <w:bottom w:val="double" w:color="auto" w:sz="6" w:space="0"/>
            </w:tcBorders>
            <w:noWrap w:val="0"/>
            <w:vAlign w:val="top"/>
          </w:tcPr>
          <w:p w14:paraId="24EC4EA7">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744" w:type="pct"/>
            <w:tcBorders>
              <w:top w:val="single" w:color="auto" w:sz="12" w:space="0"/>
              <w:bottom w:val="double" w:color="auto" w:sz="6" w:space="0"/>
            </w:tcBorders>
            <w:noWrap w:val="0"/>
            <w:vAlign w:val="top"/>
          </w:tcPr>
          <w:p w14:paraId="1AA4E83C">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单价（元）</w:t>
            </w:r>
          </w:p>
        </w:tc>
        <w:tc>
          <w:tcPr>
            <w:tcW w:w="781" w:type="pct"/>
            <w:tcBorders>
              <w:top w:val="single" w:color="auto" w:sz="12" w:space="0"/>
              <w:bottom w:val="double" w:color="auto" w:sz="6" w:space="0"/>
            </w:tcBorders>
            <w:noWrap w:val="0"/>
            <w:vAlign w:val="top"/>
          </w:tcPr>
          <w:p w14:paraId="0D8EF2DA">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合价（元）</w:t>
            </w:r>
          </w:p>
        </w:tc>
        <w:tc>
          <w:tcPr>
            <w:tcW w:w="937" w:type="pct"/>
            <w:tcBorders>
              <w:top w:val="single" w:color="auto" w:sz="12" w:space="0"/>
              <w:bottom w:val="double" w:color="auto" w:sz="6" w:space="0"/>
            </w:tcBorders>
            <w:noWrap w:val="0"/>
            <w:vAlign w:val="top"/>
          </w:tcPr>
          <w:p w14:paraId="294996A0">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01EE5E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tcBorders>
              <w:top w:val="double" w:color="auto" w:sz="6" w:space="0"/>
              <w:bottom w:val="single" w:color="auto" w:sz="6" w:space="0"/>
            </w:tcBorders>
            <w:noWrap w:val="0"/>
            <w:vAlign w:val="top"/>
          </w:tcPr>
          <w:p w14:paraId="4E64DB2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tcBorders>
              <w:top w:val="double" w:color="auto" w:sz="6" w:space="0"/>
              <w:bottom w:val="single" w:color="auto" w:sz="6" w:space="0"/>
            </w:tcBorders>
            <w:noWrap w:val="0"/>
            <w:vAlign w:val="top"/>
          </w:tcPr>
          <w:p w14:paraId="1985DDE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tcBorders>
              <w:top w:val="double" w:color="auto" w:sz="6" w:space="0"/>
              <w:bottom w:val="single" w:color="auto" w:sz="6" w:space="0"/>
            </w:tcBorders>
            <w:noWrap w:val="0"/>
            <w:vAlign w:val="top"/>
          </w:tcPr>
          <w:p w14:paraId="3C869BD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tcBorders>
              <w:top w:val="double" w:color="auto" w:sz="6" w:space="0"/>
              <w:bottom w:val="single" w:color="auto" w:sz="6" w:space="0"/>
            </w:tcBorders>
            <w:noWrap w:val="0"/>
            <w:vAlign w:val="top"/>
          </w:tcPr>
          <w:p w14:paraId="3FAF176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tcBorders>
              <w:top w:val="double" w:color="auto" w:sz="6" w:space="0"/>
              <w:bottom w:val="single" w:color="auto" w:sz="6" w:space="0"/>
            </w:tcBorders>
            <w:noWrap w:val="0"/>
            <w:vAlign w:val="top"/>
          </w:tcPr>
          <w:p w14:paraId="617043E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tcBorders>
              <w:top w:val="double" w:color="auto" w:sz="6" w:space="0"/>
              <w:bottom w:val="single" w:color="auto" w:sz="6" w:space="0"/>
            </w:tcBorders>
            <w:noWrap w:val="0"/>
            <w:vAlign w:val="top"/>
          </w:tcPr>
          <w:p w14:paraId="0863B8C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tcBorders>
              <w:top w:val="double" w:color="auto" w:sz="6" w:space="0"/>
              <w:bottom w:val="single" w:color="auto" w:sz="6" w:space="0"/>
            </w:tcBorders>
            <w:noWrap w:val="0"/>
            <w:vAlign w:val="top"/>
          </w:tcPr>
          <w:p w14:paraId="3F22ACD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620AB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tcBorders>
              <w:top w:val="nil"/>
            </w:tcBorders>
            <w:noWrap w:val="0"/>
            <w:vAlign w:val="top"/>
          </w:tcPr>
          <w:p w14:paraId="48F1EE6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tcBorders>
              <w:top w:val="nil"/>
            </w:tcBorders>
            <w:noWrap w:val="0"/>
            <w:vAlign w:val="top"/>
          </w:tcPr>
          <w:p w14:paraId="569ACB5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tcBorders>
              <w:top w:val="nil"/>
            </w:tcBorders>
            <w:noWrap w:val="0"/>
            <w:vAlign w:val="top"/>
          </w:tcPr>
          <w:p w14:paraId="63D2DFB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tcBorders>
              <w:top w:val="nil"/>
            </w:tcBorders>
            <w:noWrap w:val="0"/>
            <w:vAlign w:val="top"/>
          </w:tcPr>
          <w:p w14:paraId="27B08B9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tcBorders>
              <w:top w:val="nil"/>
            </w:tcBorders>
            <w:noWrap w:val="0"/>
            <w:vAlign w:val="top"/>
          </w:tcPr>
          <w:p w14:paraId="1E45C2D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tcBorders>
              <w:top w:val="nil"/>
            </w:tcBorders>
            <w:noWrap w:val="0"/>
            <w:vAlign w:val="top"/>
          </w:tcPr>
          <w:p w14:paraId="7C6ECEC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tcBorders>
              <w:top w:val="nil"/>
            </w:tcBorders>
            <w:noWrap w:val="0"/>
            <w:vAlign w:val="top"/>
          </w:tcPr>
          <w:p w14:paraId="60A5A318">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39DFC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3004F27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7A3BBFB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7D8E5A9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49B7322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3E24436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222E26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656E5522">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BB640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1C29FBD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04CA8B3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6CB9D54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00E211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B7094E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FF1B23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0C7152F7">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5FEC5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17D7F94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39D455B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25C6CA9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E26F0D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3F42EBC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2069BF2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1F6B683D">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A1023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78A9BE4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7691E06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6C57549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654863F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277C511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E30CFF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64CF565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3A484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05F68CD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6BE3F3A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75ECD93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102F4F4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3F0D30D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2BC4CC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0ABBAA52">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D6A6F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5E0BA34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53C07AD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4D4D0C0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6EE93B5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7872239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5DD4653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59CBA3BD">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AFDB2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24698A8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48FA972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5533D15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575195B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06453BF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84ADBB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6895DCF7">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C5367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0EA43E7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0ABA616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3A3274B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D15195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5328122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11AC299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2C5DBFB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99637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5EDC963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1EBEC5F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564B979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7130E55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D01F83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76684C4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5C412F6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5DCB1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3CFE215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5736ACA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527B890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1117AB2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586BDA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578D916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40ED812A">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84316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5FC08F4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098A681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2C75AB4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1022A34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038C240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13E9D08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5B24510A">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1439D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35296C4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060D5E9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4AECA2D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5295C04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29B9379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7C360AA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27C178F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61F27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592F287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7AC5ED0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4001BCE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52B2BDE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5830DE7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A97254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0FC4D35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3E815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772F828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7120F0B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5CC98CE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7BC7C10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536B0EC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2CF22D1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49E3173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829D1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661A0C2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59C4A2F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1B08DB7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535E560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7D5CE7A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19836B8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7668096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644D0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43A4B70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6B4A0CE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1A96DBB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12D8699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972E9E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E10847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4A7F96FA">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5F274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3092702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01BB12C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21CADC1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76B2637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F31EA2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3BF98A6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234E5CA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EA0A8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42FEBC8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06F2CEF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41B7889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4F3A26C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27B4426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543F9E7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59D7CF2D">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9F543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6B51CD6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19DBD41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337E3C6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5F390B6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A3E313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68D5924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4E7A069D">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F043B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0BBFFEE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744D851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42ACE1B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4BC42BB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088A83A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1201621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1817D70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C0B6C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1893C09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0E5BBF7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5459D04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3CA7BA3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60A077D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181C611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1B3BFF9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5F5FA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0DA3FB3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21792BE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233C9C6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106726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1F6C70C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83B726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36A0127B">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A75FB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01985D5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1F629B4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3CC30E8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390DED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B6C0B7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623A3F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5A65CAA5">
            <w:pPr>
              <w:pStyle w:val="2"/>
              <w:keepNext/>
              <w:spacing w:after="0" w:line="360" w:lineRule="auto"/>
              <w:ind w:left="63" w:right="63"/>
              <w:rPr>
                <w:rFonts w:hint="eastAsia" w:ascii="宋体" w:hAnsi="宋体" w:eastAsia="宋体" w:cs="宋体"/>
                <w:color w:val="000000"/>
                <w:kern w:val="2"/>
                <w:sz w:val="24"/>
                <w:szCs w:val="24"/>
                <w:lang w:val="en-US" w:eastAsia="zh-CN"/>
              </w:rPr>
            </w:pPr>
          </w:p>
        </w:tc>
      </w:tr>
    </w:tbl>
    <w:p w14:paraId="7B497AB8">
      <w:pPr>
        <w:spacing w:line="360" w:lineRule="auto"/>
        <w:rPr>
          <w:rFonts w:hint="eastAsia" w:ascii="宋体" w:hAnsi="宋体" w:eastAsia="宋体" w:cs="宋体"/>
          <w:color w:val="000000"/>
          <w:sz w:val="24"/>
          <w:szCs w:val="24"/>
        </w:rPr>
      </w:pPr>
    </w:p>
    <w:p w14:paraId="28218D2A">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11-3：专业工程暂估价表</w:t>
      </w:r>
    </w:p>
    <w:tbl>
      <w:tblPr>
        <w:tblStyle w:val="41"/>
        <w:tblW w:w="4998"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833"/>
        <w:gridCol w:w="1881"/>
        <w:gridCol w:w="4435"/>
        <w:gridCol w:w="1210"/>
      </w:tblGrid>
      <w:tr w14:paraId="1D0650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Borders>
              <w:top w:val="single" w:color="auto" w:sz="12" w:space="0"/>
              <w:bottom w:val="double" w:color="auto" w:sz="6" w:space="0"/>
            </w:tcBorders>
            <w:noWrap w:val="0"/>
            <w:vAlign w:val="top"/>
          </w:tcPr>
          <w:p w14:paraId="10846946">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125" w:type="pct"/>
            <w:tcBorders>
              <w:top w:val="single" w:color="auto" w:sz="12" w:space="0"/>
              <w:bottom w:val="double" w:color="auto" w:sz="6" w:space="0"/>
            </w:tcBorders>
            <w:noWrap w:val="0"/>
            <w:vAlign w:val="top"/>
          </w:tcPr>
          <w:p w14:paraId="140CCA80">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专业工程名称</w:t>
            </w:r>
          </w:p>
        </w:tc>
        <w:tc>
          <w:tcPr>
            <w:tcW w:w="2653" w:type="pct"/>
            <w:tcBorders>
              <w:top w:val="single" w:color="auto" w:sz="12" w:space="0"/>
              <w:bottom w:val="double" w:color="auto" w:sz="6" w:space="0"/>
            </w:tcBorders>
            <w:noWrap w:val="0"/>
            <w:vAlign w:val="top"/>
          </w:tcPr>
          <w:p w14:paraId="4FB7D2D2">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工程内容</w:t>
            </w:r>
          </w:p>
        </w:tc>
        <w:tc>
          <w:tcPr>
            <w:tcW w:w="723" w:type="pct"/>
            <w:tcBorders>
              <w:top w:val="single" w:color="auto" w:sz="12" w:space="0"/>
              <w:bottom w:val="double" w:color="auto" w:sz="6" w:space="0"/>
            </w:tcBorders>
            <w:noWrap w:val="0"/>
            <w:vAlign w:val="top"/>
          </w:tcPr>
          <w:p w14:paraId="38BAE087">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金额</w:t>
            </w:r>
          </w:p>
        </w:tc>
      </w:tr>
      <w:tr w14:paraId="63B2F7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Borders>
              <w:top w:val="double" w:color="auto" w:sz="6" w:space="0"/>
              <w:bottom w:val="single" w:color="auto" w:sz="6" w:space="0"/>
            </w:tcBorders>
            <w:noWrap w:val="0"/>
            <w:vAlign w:val="top"/>
          </w:tcPr>
          <w:p w14:paraId="02C920A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tcBorders>
              <w:top w:val="double" w:color="auto" w:sz="6" w:space="0"/>
              <w:bottom w:val="single" w:color="auto" w:sz="6" w:space="0"/>
            </w:tcBorders>
            <w:noWrap w:val="0"/>
            <w:vAlign w:val="top"/>
          </w:tcPr>
          <w:p w14:paraId="439EF37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tcBorders>
              <w:top w:val="double" w:color="auto" w:sz="6" w:space="0"/>
              <w:bottom w:val="single" w:color="auto" w:sz="6" w:space="0"/>
            </w:tcBorders>
            <w:noWrap w:val="0"/>
            <w:vAlign w:val="top"/>
          </w:tcPr>
          <w:p w14:paraId="6840D1F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tcBorders>
              <w:top w:val="double" w:color="auto" w:sz="6" w:space="0"/>
              <w:bottom w:val="single" w:color="auto" w:sz="6" w:space="0"/>
            </w:tcBorders>
            <w:noWrap w:val="0"/>
            <w:vAlign w:val="top"/>
          </w:tcPr>
          <w:p w14:paraId="011042F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33BCE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Borders>
              <w:top w:val="nil"/>
            </w:tcBorders>
            <w:noWrap w:val="0"/>
            <w:vAlign w:val="top"/>
          </w:tcPr>
          <w:p w14:paraId="7633BE7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tcBorders>
              <w:top w:val="nil"/>
            </w:tcBorders>
            <w:noWrap w:val="0"/>
            <w:vAlign w:val="top"/>
          </w:tcPr>
          <w:p w14:paraId="02504D6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tcBorders>
              <w:top w:val="nil"/>
            </w:tcBorders>
            <w:noWrap w:val="0"/>
            <w:vAlign w:val="top"/>
          </w:tcPr>
          <w:p w14:paraId="49E84AC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tcBorders>
              <w:top w:val="nil"/>
            </w:tcBorders>
            <w:noWrap w:val="0"/>
            <w:vAlign w:val="top"/>
          </w:tcPr>
          <w:p w14:paraId="3CF5BF2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4B564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Borders>
              <w:top w:val="nil"/>
            </w:tcBorders>
            <w:noWrap w:val="0"/>
            <w:vAlign w:val="top"/>
          </w:tcPr>
          <w:p w14:paraId="6660F13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tcBorders>
              <w:top w:val="nil"/>
            </w:tcBorders>
            <w:noWrap w:val="0"/>
            <w:vAlign w:val="top"/>
          </w:tcPr>
          <w:p w14:paraId="3C3DE44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tcBorders>
              <w:top w:val="nil"/>
            </w:tcBorders>
            <w:noWrap w:val="0"/>
            <w:vAlign w:val="top"/>
          </w:tcPr>
          <w:p w14:paraId="23C7CF7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tcBorders>
              <w:top w:val="nil"/>
            </w:tcBorders>
            <w:noWrap w:val="0"/>
            <w:vAlign w:val="top"/>
          </w:tcPr>
          <w:p w14:paraId="12739D6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63A57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5CB8379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056CAD4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537FE7B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150D8B6B">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FB74F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3BAE3B8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030FC43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00CBF22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6A56593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C3B3C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43E1EB6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55F63C0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360CF1E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670AA310">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BA963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469C48C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416E98E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0D7B1A9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3E5A7F48">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0FE31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697678A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2256DAB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2FEF5A2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6C26373B">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391B0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09FC62A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51CF8E4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3BB84C3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6FFEE20C">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DE147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55AA6FB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7994E43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5103EAA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1B5B0204">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353CE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290B914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10FFE11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275D50C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36382C8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C8278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785BFAC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69E843C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6A649F3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4D8DCA2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49FE2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38137DA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1367EB2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3DCA756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7F72082A">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B4EFF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17F65F5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1BA3064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60FA621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0DC37AD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74568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7B0CAF2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7D1A113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2371E61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75182FD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3B87F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35275B3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1872649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48C3B79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0C3A2C3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570E3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5BA49A5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27FA298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3ED9A59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52F85B37">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8440B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7CA2740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3CB92E1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24F66BC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1DC6567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4A868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3EA9B05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1FD9E0B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460A14C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75E0192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0AF6C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3D5238E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73D63A8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42C81CF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5730DED8">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5CBCB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09DD325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3AB658F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3E79739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619B8672">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DC303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754C8C3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37D0F02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6D18991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1098292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245C5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62C2AA2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12BD447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4522DF6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2354D76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A034E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7EFD026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0CA97B4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0C76A33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1361A23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0652E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000" w:type="pct"/>
            <w:gridSpan w:val="4"/>
            <w:noWrap w:val="0"/>
            <w:vAlign w:val="top"/>
          </w:tcPr>
          <w:p w14:paraId="4858A8DF">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小计：</w:t>
            </w:r>
          </w:p>
        </w:tc>
      </w:tr>
    </w:tbl>
    <w:p w14:paraId="53391AA8"/>
    <w:p w14:paraId="77735A3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MingLiU_HKSCS">
    <w:altName w:val="PMingLiU-ExtB"/>
    <w:panose1 w:val="000000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30D7A">
    <w:pPr>
      <w:pStyle w:val="28"/>
      <w:pBdr>
        <w:top w:val="none" w:color="auto" w:sz="0" w:space="1"/>
        <w:left w:val="none" w:color="auto" w:sz="0" w:space="0"/>
        <w:bottom w:val="none" w:color="auto" w:sz="0" w:space="0"/>
        <w:right w:val="none" w:color="auto" w:sz="0" w:space="0"/>
        <w:between w:val="none" w:color="auto" w:sz="0" w:space="0"/>
      </w:pBdr>
      <w:rPr>
        <w:rFonts w:hint="eastAsia"/>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1B31C">
    <w:pPr>
      <w:pStyle w:val="28"/>
      <w:pBdr>
        <w:top w:val="none" w:color="auto" w:sz="0" w:space="1"/>
        <w:left w:val="none" w:color="auto" w:sz="0" w:space="0"/>
        <w:bottom w:val="none" w:color="auto" w:sz="0" w:space="0"/>
        <w:right w:val="none" w:color="auto" w:sz="0" w:space="0"/>
        <w:between w:val="none" w:color="auto" w:sz="0" w:space="0"/>
      </w:pBd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DD213">
    <w:pPr>
      <w:pBdr>
        <w:top w:val="none" w:color="auto" w:sz="0" w:space="0"/>
        <w:left w:val="none" w:color="auto" w:sz="0" w:space="0"/>
        <w:bottom w:val="none" w:color="auto" w:sz="0" w:space="0"/>
        <w:right w:val="none" w:color="auto" w:sz="0" w:space="0"/>
        <w:between w:val="none" w:color="auto" w:sz="0" w:space="0"/>
      </w:pBdr>
      <w:spacing w:beforeLines="0" w:afterLines="0" w:line="240" w:lineRule="auto"/>
      <w:rPr>
        <w:rFonts w:hint="default"/>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CD9D9">
    <w:pPr>
      <w:pStyle w:val="29"/>
      <w:pBdr>
        <w:top w:val="none" w:color="auto" w:sz="0" w:space="0"/>
        <w:left w:val="none" w:color="auto" w:sz="0" w:space="0"/>
        <w:bottom w:val="none" w:color="auto" w:sz="0" w:space="1"/>
        <w:right w:val="none" w:color="auto" w:sz="0" w:space="0"/>
        <w:between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DD5593"/>
    <w:multiLevelType w:val="singleLevel"/>
    <w:tmpl w:val="ABDD5593"/>
    <w:lvl w:ilvl="0" w:tentative="0">
      <w:start w:val="1"/>
      <w:numFmt w:val="lowerLetter"/>
      <w:suff w:val="nothing"/>
      <w:lvlText w:val="（%1）"/>
      <w:lvlJc w:val="left"/>
    </w:lvl>
  </w:abstractNum>
  <w:abstractNum w:abstractNumId="1">
    <w:nsid w:val="3999620F"/>
    <w:multiLevelType w:val="singleLevel"/>
    <w:tmpl w:val="3999620F"/>
    <w:lvl w:ilvl="0" w:tentative="0">
      <w:start w:val="1"/>
      <w:numFmt w:val="upperLetter"/>
      <w:pStyle w:val="4"/>
      <w:lvlText w:val="%1."/>
      <w:lvlJc w:val="left"/>
      <w:pPr>
        <w:tabs>
          <w:tab w:val="left" w:pos="2085"/>
        </w:tabs>
        <w:ind w:left="2085" w:hanging="285"/>
      </w:pPr>
      <w:rPr>
        <w:rFonts w:hint="eastAsia"/>
      </w:rPr>
    </w:lvl>
  </w:abstractNum>
  <w:abstractNum w:abstractNumId="2">
    <w:nsid w:val="782E60FD"/>
    <w:multiLevelType w:val="multilevel"/>
    <w:tmpl w:val="782E60FD"/>
    <w:lvl w:ilvl="0" w:tentative="0">
      <w:start w:val="1"/>
      <w:numFmt w:val="japaneseCounting"/>
      <w:pStyle w:val="121"/>
      <w:lvlText w:val="第%1章"/>
      <w:lvlJc w:val="left"/>
      <w:pPr>
        <w:ind w:left="1350" w:hanging="13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07F"/>
    <w:rsid w:val="0007148B"/>
    <w:rsid w:val="00086B57"/>
    <w:rsid w:val="00087EFD"/>
    <w:rsid w:val="000B4A87"/>
    <w:rsid w:val="000C3D7B"/>
    <w:rsid w:val="000D5925"/>
    <w:rsid w:val="000D7666"/>
    <w:rsid w:val="00106356"/>
    <w:rsid w:val="0013207F"/>
    <w:rsid w:val="0016321A"/>
    <w:rsid w:val="001B7CD9"/>
    <w:rsid w:val="001C62C4"/>
    <w:rsid w:val="001E1699"/>
    <w:rsid w:val="001F3B34"/>
    <w:rsid w:val="001F6D24"/>
    <w:rsid w:val="00217BA5"/>
    <w:rsid w:val="002229BA"/>
    <w:rsid w:val="00231025"/>
    <w:rsid w:val="00246E8F"/>
    <w:rsid w:val="00251358"/>
    <w:rsid w:val="00252C04"/>
    <w:rsid w:val="0030681B"/>
    <w:rsid w:val="00331F49"/>
    <w:rsid w:val="00392352"/>
    <w:rsid w:val="003A2CE6"/>
    <w:rsid w:val="003C3207"/>
    <w:rsid w:val="003E067F"/>
    <w:rsid w:val="0040788A"/>
    <w:rsid w:val="00416A12"/>
    <w:rsid w:val="00422D9C"/>
    <w:rsid w:val="0045628D"/>
    <w:rsid w:val="0046211F"/>
    <w:rsid w:val="00480B01"/>
    <w:rsid w:val="004A75E4"/>
    <w:rsid w:val="004D240E"/>
    <w:rsid w:val="00586B1B"/>
    <w:rsid w:val="005B6C11"/>
    <w:rsid w:val="005C6C4E"/>
    <w:rsid w:val="005C78B4"/>
    <w:rsid w:val="00605D46"/>
    <w:rsid w:val="00690D9D"/>
    <w:rsid w:val="0077232E"/>
    <w:rsid w:val="007A0628"/>
    <w:rsid w:val="007D0C83"/>
    <w:rsid w:val="007D4927"/>
    <w:rsid w:val="007E0A1B"/>
    <w:rsid w:val="00835DB0"/>
    <w:rsid w:val="00840803"/>
    <w:rsid w:val="008563C5"/>
    <w:rsid w:val="00875FB9"/>
    <w:rsid w:val="00881B78"/>
    <w:rsid w:val="008E2A47"/>
    <w:rsid w:val="008E6440"/>
    <w:rsid w:val="008E726D"/>
    <w:rsid w:val="00915482"/>
    <w:rsid w:val="009308B6"/>
    <w:rsid w:val="00946884"/>
    <w:rsid w:val="009957AB"/>
    <w:rsid w:val="00A23523"/>
    <w:rsid w:val="00A665C2"/>
    <w:rsid w:val="00A77740"/>
    <w:rsid w:val="00AE034F"/>
    <w:rsid w:val="00B0666F"/>
    <w:rsid w:val="00B116FD"/>
    <w:rsid w:val="00B3498E"/>
    <w:rsid w:val="00B9319A"/>
    <w:rsid w:val="00BB2B94"/>
    <w:rsid w:val="00BC2B33"/>
    <w:rsid w:val="00BE1E8A"/>
    <w:rsid w:val="00BF4248"/>
    <w:rsid w:val="00C04D5F"/>
    <w:rsid w:val="00C17226"/>
    <w:rsid w:val="00C2605D"/>
    <w:rsid w:val="00C44FE8"/>
    <w:rsid w:val="00C6426E"/>
    <w:rsid w:val="00D071EB"/>
    <w:rsid w:val="00DC48BF"/>
    <w:rsid w:val="00DD56CF"/>
    <w:rsid w:val="00E06DF4"/>
    <w:rsid w:val="00E16AB7"/>
    <w:rsid w:val="00E41BEC"/>
    <w:rsid w:val="00E46424"/>
    <w:rsid w:val="00E825A5"/>
    <w:rsid w:val="00E83D5E"/>
    <w:rsid w:val="00EA7D49"/>
    <w:rsid w:val="00EF1E83"/>
    <w:rsid w:val="00F21A25"/>
    <w:rsid w:val="00F300AB"/>
    <w:rsid w:val="00F5405F"/>
    <w:rsid w:val="00FA3B30"/>
    <w:rsid w:val="00FB0168"/>
    <w:rsid w:val="00FD3486"/>
    <w:rsid w:val="00FF09E1"/>
    <w:rsid w:val="00FF0D11"/>
    <w:rsid w:val="021B7195"/>
    <w:rsid w:val="055A4ED6"/>
    <w:rsid w:val="061B1B71"/>
    <w:rsid w:val="076043B4"/>
    <w:rsid w:val="13E25485"/>
    <w:rsid w:val="162F6E71"/>
    <w:rsid w:val="1DC00253"/>
    <w:rsid w:val="230E4A8B"/>
    <w:rsid w:val="26D42111"/>
    <w:rsid w:val="27A504B9"/>
    <w:rsid w:val="29820AB2"/>
    <w:rsid w:val="30836A4B"/>
    <w:rsid w:val="32026C34"/>
    <w:rsid w:val="32342B66"/>
    <w:rsid w:val="3C5059D9"/>
    <w:rsid w:val="3F063AB8"/>
    <w:rsid w:val="482E486B"/>
    <w:rsid w:val="4A6242BC"/>
    <w:rsid w:val="4EB11698"/>
    <w:rsid w:val="58E10F36"/>
    <w:rsid w:val="5A095676"/>
    <w:rsid w:val="5B6707EF"/>
    <w:rsid w:val="62C21944"/>
    <w:rsid w:val="64675B95"/>
    <w:rsid w:val="69357095"/>
    <w:rsid w:val="6B446834"/>
    <w:rsid w:val="71940950"/>
    <w:rsid w:val="78637F9C"/>
    <w:rsid w:val="79A854A9"/>
    <w:rsid w:val="7D3F76F0"/>
    <w:rsid w:val="7F0E5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qFormat="1" w:unhideWhenUsed="0" w:uiPriority="0" w:semiHidden="0"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51"/>
    <w:qFormat/>
    <w:uiPriority w:val="0"/>
    <w:pPr>
      <w:keepNext/>
      <w:widowControl/>
      <w:jc w:val="center"/>
      <w:outlineLvl w:val="0"/>
    </w:pPr>
    <w:rPr>
      <w:rFonts w:ascii="Times New Roman" w:hAnsi="Times New Roman" w:eastAsia="宋体" w:cs="Times New Roman"/>
      <w:kern w:val="0"/>
      <w:sz w:val="24"/>
      <w:szCs w:val="20"/>
    </w:rPr>
  </w:style>
  <w:style w:type="paragraph" w:styleId="4">
    <w:name w:val="heading 2"/>
    <w:basedOn w:val="1"/>
    <w:next w:val="5"/>
    <w:link w:val="52"/>
    <w:qFormat/>
    <w:uiPriority w:val="0"/>
    <w:pPr>
      <w:keepNext/>
      <w:numPr>
        <w:ilvl w:val="0"/>
        <w:numId w:val="1"/>
      </w:numPr>
      <w:outlineLvl w:val="1"/>
    </w:pPr>
    <w:rPr>
      <w:rFonts w:ascii="Times New Roman" w:hAnsi="Times New Roman" w:eastAsia="宋体" w:cs="Times New Roman"/>
      <w:sz w:val="28"/>
      <w:szCs w:val="20"/>
    </w:rPr>
  </w:style>
  <w:style w:type="paragraph" w:styleId="6">
    <w:name w:val="heading 3"/>
    <w:basedOn w:val="1"/>
    <w:next w:val="1"/>
    <w:link w:val="53"/>
    <w:qFormat/>
    <w:uiPriority w:val="0"/>
    <w:pPr>
      <w:keepNext/>
      <w:keepLines/>
      <w:spacing w:line="360" w:lineRule="auto"/>
      <w:outlineLvl w:val="2"/>
    </w:pPr>
    <w:rPr>
      <w:rFonts w:ascii="Times New Roman" w:hAnsi="Times New Roman" w:eastAsia="宋体" w:cs="Times New Roman"/>
      <w:b/>
      <w:bCs/>
      <w:sz w:val="24"/>
      <w:szCs w:val="32"/>
    </w:rPr>
  </w:style>
  <w:style w:type="paragraph" w:styleId="7">
    <w:name w:val="heading 4"/>
    <w:basedOn w:val="1"/>
    <w:next w:val="1"/>
    <w:link w:val="54"/>
    <w:qFormat/>
    <w:uiPriority w:val="0"/>
    <w:pPr>
      <w:keepNext/>
      <w:keepLines/>
      <w:spacing w:line="360" w:lineRule="auto"/>
      <w:outlineLvl w:val="3"/>
    </w:pPr>
    <w:rPr>
      <w:rFonts w:ascii="Arial" w:hAnsi="Arial" w:eastAsia="宋体" w:cs="Times New Roman"/>
      <w:b/>
      <w:bCs/>
      <w:szCs w:val="28"/>
    </w:rPr>
  </w:style>
  <w:style w:type="paragraph" w:styleId="8">
    <w:name w:val="heading 5"/>
    <w:basedOn w:val="1"/>
    <w:next w:val="1"/>
    <w:link w:val="55"/>
    <w:qFormat/>
    <w:uiPriority w:val="0"/>
    <w:pPr>
      <w:keepNext/>
      <w:keepLines/>
      <w:spacing w:before="280" w:after="290" w:line="376" w:lineRule="auto"/>
      <w:outlineLvl w:val="4"/>
    </w:pPr>
    <w:rPr>
      <w:rFonts w:ascii="Times New Roman" w:hAnsi="Times New Roman" w:eastAsia="宋体" w:cs="Times New Roman"/>
      <w:b/>
      <w:bCs/>
      <w:sz w:val="28"/>
      <w:szCs w:val="28"/>
    </w:rPr>
  </w:style>
  <w:style w:type="paragraph" w:styleId="9">
    <w:name w:val="heading 6"/>
    <w:basedOn w:val="1"/>
    <w:next w:val="1"/>
    <w:link w:val="56"/>
    <w:qFormat/>
    <w:uiPriority w:val="0"/>
    <w:pPr>
      <w:keepNext/>
      <w:keepLines/>
      <w:widowControl/>
      <w:spacing w:before="240" w:after="64" w:line="320" w:lineRule="auto"/>
      <w:jc w:val="left"/>
      <w:outlineLvl w:val="5"/>
    </w:pPr>
    <w:rPr>
      <w:rFonts w:ascii="Arial" w:hAnsi="Arial" w:eastAsia="黑体" w:cs="Times New Roman"/>
      <w:b/>
      <w:bCs/>
      <w:kern w:val="0"/>
      <w:sz w:val="24"/>
      <w:szCs w:val="24"/>
    </w:rPr>
  </w:style>
  <w:style w:type="paragraph" w:styleId="10">
    <w:name w:val="heading 7"/>
    <w:basedOn w:val="1"/>
    <w:next w:val="1"/>
    <w:link w:val="57"/>
    <w:qFormat/>
    <w:uiPriority w:val="0"/>
    <w:pPr>
      <w:keepNext/>
      <w:keepLines/>
      <w:widowControl/>
      <w:spacing w:before="240" w:after="64" w:line="320" w:lineRule="auto"/>
      <w:jc w:val="left"/>
      <w:outlineLvl w:val="6"/>
    </w:pPr>
    <w:rPr>
      <w:rFonts w:ascii="Times New Roman" w:hAnsi="Times New Roman" w:eastAsia="宋体" w:cs="Times New Roman"/>
      <w:b/>
      <w:bCs/>
      <w:kern w:val="0"/>
      <w:sz w:val="24"/>
      <w:szCs w:val="24"/>
    </w:rPr>
  </w:style>
  <w:style w:type="paragraph" w:styleId="11">
    <w:name w:val="heading 8"/>
    <w:basedOn w:val="1"/>
    <w:next w:val="1"/>
    <w:link w:val="58"/>
    <w:qFormat/>
    <w:uiPriority w:val="0"/>
    <w:pPr>
      <w:keepNext/>
      <w:keepLines/>
      <w:widowControl/>
      <w:spacing w:before="240" w:after="64" w:line="320" w:lineRule="auto"/>
      <w:jc w:val="left"/>
      <w:outlineLvl w:val="7"/>
    </w:pPr>
    <w:rPr>
      <w:rFonts w:ascii="Arial" w:hAnsi="Arial" w:eastAsia="黑体" w:cs="Times New Roman"/>
      <w:kern w:val="0"/>
      <w:sz w:val="24"/>
      <w:szCs w:val="24"/>
    </w:rPr>
  </w:style>
  <w:style w:type="paragraph" w:styleId="12">
    <w:name w:val="heading 9"/>
    <w:basedOn w:val="1"/>
    <w:next w:val="1"/>
    <w:link w:val="59"/>
    <w:qFormat/>
    <w:uiPriority w:val="0"/>
    <w:pPr>
      <w:keepNext/>
      <w:keepLines/>
      <w:widowControl/>
      <w:spacing w:before="240" w:after="64" w:line="320" w:lineRule="auto"/>
      <w:jc w:val="left"/>
      <w:outlineLvl w:val="8"/>
    </w:pPr>
    <w:rPr>
      <w:rFonts w:ascii="Arial" w:hAnsi="Arial" w:eastAsia="黑体" w:cs="Times New Roman"/>
      <w:kern w:val="0"/>
      <w:szCs w:val="21"/>
    </w:rPr>
  </w:style>
  <w:style w:type="character" w:default="1" w:styleId="44">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4"/>
    <w:qFormat/>
    <w:uiPriority w:val="0"/>
    <w:pPr>
      <w:widowControl/>
      <w:jc w:val="left"/>
    </w:pPr>
    <w:rPr>
      <w:rFonts w:ascii="Times New Roman" w:hAnsi="Times New Roman" w:eastAsia="宋体" w:cs="Times New Roman"/>
      <w:kern w:val="0"/>
      <w:sz w:val="24"/>
      <w:szCs w:val="20"/>
    </w:rPr>
  </w:style>
  <w:style w:type="paragraph" w:styleId="5">
    <w:name w:val="Normal Indent"/>
    <w:basedOn w:val="1"/>
    <w:link w:val="60"/>
    <w:qFormat/>
    <w:uiPriority w:val="0"/>
    <w:pPr>
      <w:ind w:firstLine="420"/>
    </w:pPr>
    <w:rPr>
      <w:rFonts w:ascii="Times New Roman" w:hAnsi="Times New Roman" w:eastAsia="宋体" w:cs="Times New Roman"/>
      <w:szCs w:val="20"/>
    </w:rPr>
  </w:style>
  <w:style w:type="paragraph" w:styleId="13">
    <w:name w:val="toc 7"/>
    <w:basedOn w:val="1"/>
    <w:next w:val="1"/>
    <w:qFormat/>
    <w:uiPriority w:val="0"/>
    <w:pPr>
      <w:ind w:left="2520" w:leftChars="1200"/>
    </w:pPr>
    <w:rPr>
      <w:rFonts w:ascii="Calibri" w:hAnsi="Calibri" w:eastAsia="宋体" w:cs="Times New Roman"/>
    </w:rPr>
  </w:style>
  <w:style w:type="paragraph" w:styleId="14">
    <w:name w:val="caption"/>
    <w:basedOn w:val="1"/>
    <w:next w:val="1"/>
    <w:qFormat/>
    <w:uiPriority w:val="0"/>
    <w:rPr>
      <w:rFonts w:ascii="Cambria" w:hAnsi="Cambria" w:eastAsia="黑体" w:cs="Times New Roman"/>
      <w:sz w:val="20"/>
      <w:szCs w:val="20"/>
    </w:rPr>
  </w:style>
  <w:style w:type="paragraph" w:styleId="15">
    <w:name w:val="Document Map"/>
    <w:basedOn w:val="1"/>
    <w:link w:val="61"/>
    <w:qFormat/>
    <w:uiPriority w:val="0"/>
    <w:pPr>
      <w:shd w:val="clear" w:color="auto" w:fill="000080"/>
    </w:pPr>
    <w:rPr>
      <w:rFonts w:ascii="Times New Roman" w:hAnsi="Times New Roman" w:eastAsia="宋体" w:cs="Times New Roman"/>
      <w:szCs w:val="24"/>
    </w:rPr>
  </w:style>
  <w:style w:type="paragraph" w:styleId="16">
    <w:name w:val="annotation text"/>
    <w:basedOn w:val="1"/>
    <w:link w:val="62"/>
    <w:qFormat/>
    <w:uiPriority w:val="0"/>
    <w:pPr>
      <w:jc w:val="left"/>
    </w:pPr>
    <w:rPr>
      <w:rFonts w:ascii="Times New Roman" w:hAnsi="Times New Roman" w:eastAsia="宋体" w:cs="Times New Roman"/>
      <w:szCs w:val="24"/>
    </w:rPr>
  </w:style>
  <w:style w:type="paragraph" w:styleId="17">
    <w:name w:val="Body Text 3"/>
    <w:basedOn w:val="1"/>
    <w:link w:val="63"/>
    <w:qFormat/>
    <w:uiPriority w:val="0"/>
    <w:pPr>
      <w:widowControl/>
      <w:spacing w:after="120"/>
      <w:jc w:val="left"/>
    </w:pPr>
    <w:rPr>
      <w:rFonts w:ascii="Times New Roman" w:hAnsi="Times New Roman" w:eastAsia="宋体" w:cs="Times New Roman"/>
      <w:kern w:val="0"/>
      <w:sz w:val="16"/>
      <w:szCs w:val="16"/>
    </w:rPr>
  </w:style>
  <w:style w:type="paragraph" w:styleId="18">
    <w:name w:val="Body Text Indent"/>
    <w:basedOn w:val="1"/>
    <w:link w:val="65"/>
    <w:qFormat/>
    <w:uiPriority w:val="0"/>
    <w:pPr>
      <w:widowControl/>
      <w:ind w:left="426" w:hanging="426" w:hangingChars="152"/>
      <w:jc w:val="left"/>
    </w:pPr>
    <w:rPr>
      <w:rFonts w:ascii="宋体" w:hAnsi="Times New Roman" w:eastAsia="宋体" w:cs="Times New Roman"/>
      <w:kern w:val="0"/>
      <w:sz w:val="28"/>
      <w:szCs w:val="20"/>
    </w:rPr>
  </w:style>
  <w:style w:type="paragraph" w:styleId="19">
    <w:name w:val="Block Text"/>
    <w:basedOn w:val="1"/>
    <w:qFormat/>
    <w:uiPriority w:val="0"/>
    <w:pPr>
      <w:adjustRightInd w:val="0"/>
      <w:ind w:left="420" w:right="33"/>
      <w:jc w:val="left"/>
      <w:textAlignment w:val="baseline"/>
    </w:pPr>
    <w:rPr>
      <w:rFonts w:ascii="Times New Roman" w:hAnsi="Times New Roman" w:eastAsia="宋体" w:cs="Times New Roman"/>
      <w:kern w:val="0"/>
      <w:sz w:val="24"/>
      <w:szCs w:val="20"/>
    </w:rPr>
  </w:style>
  <w:style w:type="paragraph" w:styleId="20">
    <w:name w:val="index 4"/>
    <w:basedOn w:val="1"/>
    <w:next w:val="1"/>
    <w:qFormat/>
    <w:uiPriority w:val="0"/>
    <w:pPr>
      <w:ind w:left="600" w:leftChars="600"/>
    </w:pPr>
    <w:rPr>
      <w:rFonts w:ascii="Times New Roman" w:hAnsi="Times New Roman" w:eastAsia="宋体" w:cs="Times New Roman"/>
      <w:szCs w:val="24"/>
    </w:rPr>
  </w:style>
  <w:style w:type="paragraph" w:styleId="21">
    <w:name w:val="toc 5"/>
    <w:basedOn w:val="1"/>
    <w:next w:val="1"/>
    <w:qFormat/>
    <w:uiPriority w:val="0"/>
    <w:pPr>
      <w:tabs>
        <w:tab w:val="right" w:leader="dot" w:pos="8296"/>
      </w:tabs>
      <w:ind w:left="1050" w:leftChars="500"/>
    </w:pPr>
    <w:rPr>
      <w:rFonts w:ascii="Calibri" w:hAnsi="Calibri" w:eastAsia="宋体" w:cs="Times New Roman"/>
    </w:rPr>
  </w:style>
  <w:style w:type="paragraph" w:styleId="22">
    <w:name w:val="toc 3"/>
    <w:basedOn w:val="1"/>
    <w:next w:val="1"/>
    <w:qFormat/>
    <w:uiPriority w:val="0"/>
    <w:pPr>
      <w:ind w:left="840" w:leftChars="400"/>
    </w:pPr>
    <w:rPr>
      <w:rFonts w:ascii="Times New Roman" w:hAnsi="Times New Roman" w:eastAsia="宋体" w:cs="Times New Roman"/>
      <w:szCs w:val="24"/>
    </w:rPr>
  </w:style>
  <w:style w:type="paragraph" w:styleId="23">
    <w:name w:val="Plain Text"/>
    <w:basedOn w:val="1"/>
    <w:link w:val="66"/>
    <w:qFormat/>
    <w:uiPriority w:val="0"/>
    <w:rPr>
      <w:rFonts w:ascii="宋体" w:hAnsi="Courier New" w:eastAsia="宋体" w:cs="Courier New"/>
      <w:szCs w:val="21"/>
    </w:rPr>
  </w:style>
  <w:style w:type="paragraph" w:styleId="24">
    <w:name w:val="toc 8"/>
    <w:basedOn w:val="1"/>
    <w:next w:val="1"/>
    <w:qFormat/>
    <w:uiPriority w:val="0"/>
    <w:pPr>
      <w:ind w:left="2940" w:leftChars="1400"/>
    </w:pPr>
    <w:rPr>
      <w:rFonts w:ascii="Calibri" w:hAnsi="Calibri" w:eastAsia="宋体" w:cs="Times New Roman"/>
    </w:rPr>
  </w:style>
  <w:style w:type="paragraph" w:styleId="25">
    <w:name w:val="Date"/>
    <w:basedOn w:val="1"/>
    <w:next w:val="1"/>
    <w:link w:val="67"/>
    <w:qFormat/>
    <w:uiPriority w:val="0"/>
    <w:rPr>
      <w:rFonts w:ascii="Times New Roman" w:hAnsi="Times New Roman" w:eastAsia="宋体" w:cs="Times New Roman"/>
      <w:sz w:val="28"/>
      <w:szCs w:val="20"/>
    </w:rPr>
  </w:style>
  <w:style w:type="paragraph" w:styleId="26">
    <w:name w:val="Body Text Indent 2"/>
    <w:basedOn w:val="1"/>
    <w:link w:val="68"/>
    <w:qFormat/>
    <w:uiPriority w:val="0"/>
    <w:pPr>
      <w:widowControl/>
      <w:spacing w:after="120" w:line="480" w:lineRule="auto"/>
      <w:ind w:left="420" w:leftChars="200"/>
      <w:jc w:val="left"/>
    </w:pPr>
    <w:rPr>
      <w:rFonts w:ascii="Times New Roman" w:hAnsi="Times New Roman" w:eastAsia="宋体" w:cs="Times New Roman"/>
      <w:kern w:val="0"/>
      <w:sz w:val="20"/>
      <w:szCs w:val="20"/>
    </w:rPr>
  </w:style>
  <w:style w:type="paragraph" w:styleId="27">
    <w:name w:val="Balloon Text"/>
    <w:basedOn w:val="1"/>
    <w:link w:val="69"/>
    <w:qFormat/>
    <w:uiPriority w:val="0"/>
    <w:rPr>
      <w:rFonts w:ascii="Times New Roman" w:hAnsi="Times New Roman" w:eastAsia="宋体" w:cs="Times New Roman"/>
      <w:sz w:val="18"/>
      <w:szCs w:val="18"/>
    </w:rPr>
  </w:style>
  <w:style w:type="paragraph" w:styleId="28">
    <w:name w:val="footer"/>
    <w:basedOn w:val="1"/>
    <w:link w:val="70"/>
    <w:qFormat/>
    <w:uiPriority w:val="0"/>
    <w:pPr>
      <w:pBdr>
        <w:top w:val="single" w:color="auto" w:sz="4" w:space="1"/>
      </w:pBdr>
      <w:tabs>
        <w:tab w:val="center" w:pos="4153"/>
        <w:tab w:val="right" w:pos="8306"/>
      </w:tabs>
      <w:snapToGrid w:val="0"/>
      <w:jc w:val="left"/>
    </w:pPr>
    <w:rPr>
      <w:rFonts w:ascii="Times New Roman" w:hAnsi="Times New Roman" w:eastAsia="宋体" w:cs="Times New Roman"/>
      <w:sz w:val="18"/>
      <w:szCs w:val="18"/>
    </w:rPr>
  </w:style>
  <w:style w:type="paragraph" w:styleId="29">
    <w:name w:val="header"/>
    <w:basedOn w:val="1"/>
    <w:link w:val="7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30">
    <w:name w:val="toc 1"/>
    <w:basedOn w:val="1"/>
    <w:next w:val="1"/>
    <w:qFormat/>
    <w:uiPriority w:val="39"/>
    <w:pPr>
      <w:tabs>
        <w:tab w:val="right" w:leader="dot" w:pos="9060"/>
      </w:tabs>
      <w:spacing w:line="720" w:lineRule="auto"/>
    </w:pPr>
    <w:rPr>
      <w:rFonts w:ascii="Times New Roman" w:hAnsi="Times New Roman" w:eastAsia="宋体" w:cs="Times New Roman"/>
      <w:szCs w:val="24"/>
    </w:rPr>
  </w:style>
  <w:style w:type="paragraph" w:styleId="31">
    <w:name w:val="toc 4"/>
    <w:basedOn w:val="1"/>
    <w:next w:val="1"/>
    <w:qFormat/>
    <w:uiPriority w:val="0"/>
    <w:pPr>
      <w:tabs>
        <w:tab w:val="left" w:pos="1890"/>
        <w:tab w:val="right" w:leader="dot" w:pos="8296"/>
      </w:tabs>
      <w:ind w:left="630" w:leftChars="300"/>
    </w:pPr>
    <w:rPr>
      <w:rFonts w:ascii="Calibri" w:hAnsi="Calibri" w:eastAsia="宋体" w:cs="Times New Roman"/>
    </w:rPr>
  </w:style>
  <w:style w:type="paragraph" w:styleId="32">
    <w:name w:val="Subtitle"/>
    <w:basedOn w:val="1"/>
    <w:next w:val="1"/>
    <w:link w:val="72"/>
    <w:qFormat/>
    <w:uiPriority w:val="0"/>
    <w:pPr>
      <w:spacing w:before="240" w:after="60" w:line="312" w:lineRule="auto"/>
      <w:jc w:val="center"/>
      <w:outlineLvl w:val="1"/>
    </w:pPr>
    <w:rPr>
      <w:rFonts w:ascii="Cambria" w:hAnsi="Cambria" w:eastAsia="宋体" w:cs="Times New Roman"/>
      <w:b/>
      <w:bCs/>
      <w:kern w:val="28"/>
      <w:sz w:val="32"/>
      <w:szCs w:val="32"/>
    </w:rPr>
  </w:style>
  <w:style w:type="paragraph" w:styleId="33">
    <w:name w:val="toc 6"/>
    <w:basedOn w:val="1"/>
    <w:next w:val="1"/>
    <w:qFormat/>
    <w:uiPriority w:val="0"/>
    <w:pPr>
      <w:ind w:left="2100" w:leftChars="1000"/>
    </w:pPr>
    <w:rPr>
      <w:rFonts w:ascii="Calibri" w:hAnsi="Calibri" w:eastAsia="宋体" w:cs="Times New Roman"/>
    </w:rPr>
  </w:style>
  <w:style w:type="paragraph" w:styleId="34">
    <w:name w:val="Body Text Indent 3"/>
    <w:basedOn w:val="1"/>
    <w:link w:val="73"/>
    <w:qFormat/>
    <w:uiPriority w:val="0"/>
    <w:pPr>
      <w:widowControl/>
      <w:spacing w:after="120"/>
      <w:ind w:left="420" w:leftChars="200"/>
      <w:jc w:val="left"/>
    </w:pPr>
    <w:rPr>
      <w:rFonts w:ascii="Times New Roman" w:hAnsi="Times New Roman" w:eastAsia="宋体" w:cs="Times New Roman"/>
      <w:kern w:val="0"/>
      <w:sz w:val="16"/>
      <w:szCs w:val="16"/>
    </w:rPr>
  </w:style>
  <w:style w:type="paragraph" w:styleId="35">
    <w:name w:val="toc 2"/>
    <w:basedOn w:val="1"/>
    <w:next w:val="1"/>
    <w:qFormat/>
    <w:uiPriority w:val="39"/>
    <w:pPr>
      <w:ind w:left="420" w:leftChars="200"/>
    </w:pPr>
    <w:rPr>
      <w:rFonts w:ascii="Times New Roman" w:hAnsi="Times New Roman" w:eastAsia="宋体" w:cs="Times New Roman"/>
      <w:szCs w:val="24"/>
    </w:rPr>
  </w:style>
  <w:style w:type="paragraph" w:styleId="36">
    <w:name w:val="toc 9"/>
    <w:basedOn w:val="1"/>
    <w:next w:val="1"/>
    <w:qFormat/>
    <w:uiPriority w:val="0"/>
    <w:pPr>
      <w:ind w:left="3360" w:leftChars="1600"/>
    </w:pPr>
    <w:rPr>
      <w:rFonts w:ascii="Calibri" w:hAnsi="Calibri" w:eastAsia="宋体" w:cs="Times New Roman"/>
    </w:rPr>
  </w:style>
  <w:style w:type="paragraph" w:styleId="37">
    <w:name w:val="Body Text 2"/>
    <w:basedOn w:val="1"/>
    <w:link w:val="74"/>
    <w:qFormat/>
    <w:uiPriority w:val="0"/>
    <w:pPr>
      <w:widowControl/>
      <w:spacing w:after="120" w:line="480" w:lineRule="auto"/>
      <w:jc w:val="left"/>
    </w:pPr>
    <w:rPr>
      <w:rFonts w:ascii="Times New Roman" w:hAnsi="Times New Roman" w:eastAsia="宋体" w:cs="Times New Roman"/>
      <w:kern w:val="0"/>
      <w:sz w:val="20"/>
      <w:szCs w:val="20"/>
    </w:rPr>
  </w:style>
  <w:style w:type="paragraph" w:styleId="38">
    <w:name w:val="Normal (Web)"/>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styleId="39">
    <w:name w:val="Title"/>
    <w:basedOn w:val="1"/>
    <w:link w:val="75"/>
    <w:qFormat/>
    <w:uiPriority w:val="0"/>
    <w:pPr>
      <w:adjustRightInd w:val="0"/>
      <w:spacing w:before="240" w:after="60" w:line="312" w:lineRule="atLeast"/>
      <w:jc w:val="center"/>
      <w:textAlignment w:val="baseline"/>
      <w:outlineLvl w:val="0"/>
    </w:pPr>
    <w:rPr>
      <w:rFonts w:ascii="Arial" w:hAnsi="Arial" w:eastAsia="楷体_GB2312" w:cs="Times New Roman"/>
      <w:b/>
      <w:kern w:val="0"/>
      <w:sz w:val="32"/>
      <w:szCs w:val="32"/>
    </w:rPr>
  </w:style>
  <w:style w:type="paragraph" w:styleId="40">
    <w:name w:val="annotation subject"/>
    <w:basedOn w:val="16"/>
    <w:next w:val="16"/>
    <w:link w:val="76"/>
    <w:qFormat/>
    <w:uiPriority w:val="0"/>
    <w:rPr>
      <w:b/>
      <w:bCs/>
    </w:rPr>
  </w:style>
  <w:style w:type="table" w:styleId="42">
    <w:name w:val="Table Grid"/>
    <w:basedOn w:val="41"/>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3">
    <w:name w:val="Table Classic 1"/>
    <w:basedOn w:val="41"/>
    <w:qFormat/>
    <w:uiPriority w:val="0"/>
    <w:pPr>
      <w:widowControl w:val="0"/>
      <w:jc w:val="both"/>
    </w:pPr>
    <w:rPr>
      <w:rFonts w:ascii="Times New Roman" w:hAnsi="Times New Roman" w:eastAsia="宋体" w:cs="Times New Roman"/>
      <w:kern w:val="0"/>
      <w:sz w:val="20"/>
      <w:szCs w:val="20"/>
    </w:rPr>
    <w:tblPr>
      <w:tblBorders>
        <w:top w:val="single" w:color="000000" w:sz="12" w:space="0"/>
        <w:bottom w:val="single" w:color="000000" w:sz="12" w:space="0"/>
      </w:tblBorders>
    </w:tblPr>
    <w:tcPr>
      <w:shd w:val="clear" w:color="auto" w:fill="auto"/>
    </w:tcPr>
    <w:tblStylePr w:type="firstRow">
      <w:rPr>
        <w:i/>
        <w:iCs/>
      </w:rPr>
      <w:tblPr/>
      <w:tcPr>
        <w:tcBorders>
          <w:top w:val="nil"/>
          <w:left w:val="nil"/>
          <w:bottom w:val="single" w:color="000000" w:sz="6" w:space="0"/>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tblPr/>
      <w:tcPr>
        <w:tcBorders>
          <w:top w:val="nil"/>
          <w:left w:val="nil"/>
          <w:bottom w:val="nil"/>
          <w:right w:val="single" w:color="000000" w:sz="6" w:space="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character" w:styleId="45">
    <w:name w:val="Strong"/>
    <w:qFormat/>
    <w:uiPriority w:val="0"/>
    <w:rPr>
      <w:b/>
      <w:bCs/>
    </w:rPr>
  </w:style>
  <w:style w:type="character" w:styleId="46">
    <w:name w:val="page number"/>
    <w:basedOn w:val="44"/>
    <w:qFormat/>
    <w:uiPriority w:val="0"/>
  </w:style>
  <w:style w:type="character" w:styleId="47">
    <w:name w:val="FollowedHyperlink"/>
    <w:qFormat/>
    <w:uiPriority w:val="99"/>
    <w:rPr>
      <w:color w:val="800080"/>
      <w:u w:val="single"/>
    </w:rPr>
  </w:style>
  <w:style w:type="character" w:styleId="48">
    <w:name w:val="Emphasis"/>
    <w:qFormat/>
    <w:uiPriority w:val="0"/>
    <w:rPr>
      <w:i/>
      <w:iCs/>
    </w:rPr>
  </w:style>
  <w:style w:type="character" w:styleId="49">
    <w:name w:val="Hyperlink"/>
    <w:qFormat/>
    <w:uiPriority w:val="99"/>
    <w:rPr>
      <w:color w:val="0000FF"/>
      <w:u w:val="single"/>
    </w:rPr>
  </w:style>
  <w:style w:type="character" w:styleId="50">
    <w:name w:val="annotation reference"/>
    <w:qFormat/>
    <w:uiPriority w:val="0"/>
    <w:rPr>
      <w:sz w:val="21"/>
      <w:szCs w:val="21"/>
    </w:rPr>
  </w:style>
  <w:style w:type="character" w:customStyle="1" w:styleId="51">
    <w:name w:val="标题 1 字符"/>
    <w:basedOn w:val="44"/>
    <w:link w:val="3"/>
    <w:qFormat/>
    <w:uiPriority w:val="0"/>
    <w:rPr>
      <w:rFonts w:ascii="Times New Roman" w:hAnsi="Times New Roman" w:eastAsia="宋体" w:cs="Times New Roman"/>
      <w:kern w:val="0"/>
      <w:sz w:val="24"/>
      <w:szCs w:val="20"/>
    </w:rPr>
  </w:style>
  <w:style w:type="character" w:customStyle="1" w:styleId="52">
    <w:name w:val="标题 2 字符"/>
    <w:basedOn w:val="44"/>
    <w:link w:val="4"/>
    <w:qFormat/>
    <w:uiPriority w:val="0"/>
    <w:rPr>
      <w:rFonts w:ascii="Times New Roman" w:hAnsi="Times New Roman" w:eastAsia="宋体" w:cs="Times New Roman"/>
      <w:sz w:val="28"/>
      <w:szCs w:val="20"/>
    </w:rPr>
  </w:style>
  <w:style w:type="character" w:customStyle="1" w:styleId="53">
    <w:name w:val="标题 3 字符"/>
    <w:basedOn w:val="44"/>
    <w:link w:val="6"/>
    <w:qFormat/>
    <w:uiPriority w:val="0"/>
    <w:rPr>
      <w:rFonts w:ascii="Times New Roman" w:hAnsi="Times New Roman" w:eastAsia="宋体" w:cs="Times New Roman"/>
      <w:b/>
      <w:bCs/>
      <w:sz w:val="24"/>
      <w:szCs w:val="32"/>
    </w:rPr>
  </w:style>
  <w:style w:type="character" w:customStyle="1" w:styleId="54">
    <w:name w:val="标题 4 字符"/>
    <w:basedOn w:val="44"/>
    <w:link w:val="7"/>
    <w:qFormat/>
    <w:uiPriority w:val="0"/>
    <w:rPr>
      <w:rFonts w:ascii="Arial" w:hAnsi="Arial" w:eastAsia="宋体" w:cs="Times New Roman"/>
      <w:b/>
      <w:bCs/>
      <w:szCs w:val="28"/>
    </w:rPr>
  </w:style>
  <w:style w:type="character" w:customStyle="1" w:styleId="55">
    <w:name w:val="标题 5 字符"/>
    <w:basedOn w:val="44"/>
    <w:link w:val="8"/>
    <w:qFormat/>
    <w:uiPriority w:val="0"/>
    <w:rPr>
      <w:rFonts w:ascii="Times New Roman" w:hAnsi="Times New Roman" w:eastAsia="宋体" w:cs="Times New Roman"/>
      <w:b/>
      <w:bCs/>
      <w:sz w:val="28"/>
      <w:szCs w:val="28"/>
    </w:rPr>
  </w:style>
  <w:style w:type="character" w:customStyle="1" w:styleId="56">
    <w:name w:val="标题 6 字符"/>
    <w:basedOn w:val="44"/>
    <w:link w:val="9"/>
    <w:qFormat/>
    <w:uiPriority w:val="0"/>
    <w:rPr>
      <w:rFonts w:ascii="Arial" w:hAnsi="Arial" w:eastAsia="黑体" w:cs="Times New Roman"/>
      <w:b/>
      <w:bCs/>
      <w:kern w:val="0"/>
      <w:sz w:val="24"/>
      <w:szCs w:val="24"/>
    </w:rPr>
  </w:style>
  <w:style w:type="character" w:customStyle="1" w:styleId="57">
    <w:name w:val="标题 7 字符"/>
    <w:basedOn w:val="44"/>
    <w:link w:val="10"/>
    <w:qFormat/>
    <w:uiPriority w:val="0"/>
    <w:rPr>
      <w:rFonts w:ascii="Times New Roman" w:hAnsi="Times New Roman" w:eastAsia="宋体" w:cs="Times New Roman"/>
      <w:b/>
      <w:bCs/>
      <w:kern w:val="0"/>
      <w:sz w:val="24"/>
      <w:szCs w:val="24"/>
    </w:rPr>
  </w:style>
  <w:style w:type="character" w:customStyle="1" w:styleId="58">
    <w:name w:val="标题 8 字符"/>
    <w:basedOn w:val="44"/>
    <w:link w:val="11"/>
    <w:qFormat/>
    <w:uiPriority w:val="0"/>
    <w:rPr>
      <w:rFonts w:ascii="Arial" w:hAnsi="Arial" w:eastAsia="黑体" w:cs="Times New Roman"/>
      <w:kern w:val="0"/>
      <w:sz w:val="24"/>
      <w:szCs w:val="24"/>
    </w:rPr>
  </w:style>
  <w:style w:type="character" w:customStyle="1" w:styleId="59">
    <w:name w:val="标题 9 字符"/>
    <w:basedOn w:val="44"/>
    <w:link w:val="12"/>
    <w:qFormat/>
    <w:uiPriority w:val="0"/>
    <w:rPr>
      <w:rFonts w:ascii="Arial" w:hAnsi="Arial" w:eastAsia="黑体" w:cs="Times New Roman"/>
      <w:kern w:val="0"/>
      <w:szCs w:val="21"/>
    </w:rPr>
  </w:style>
  <w:style w:type="character" w:customStyle="1" w:styleId="60">
    <w:name w:val="正文缩进 字符"/>
    <w:link w:val="5"/>
    <w:qFormat/>
    <w:uiPriority w:val="0"/>
    <w:rPr>
      <w:rFonts w:ascii="Times New Roman" w:hAnsi="Times New Roman" w:eastAsia="宋体" w:cs="Times New Roman"/>
      <w:szCs w:val="20"/>
    </w:rPr>
  </w:style>
  <w:style w:type="character" w:customStyle="1" w:styleId="61">
    <w:name w:val="文档结构图 字符"/>
    <w:basedOn w:val="44"/>
    <w:link w:val="15"/>
    <w:qFormat/>
    <w:uiPriority w:val="0"/>
    <w:rPr>
      <w:rFonts w:ascii="Times New Roman" w:hAnsi="Times New Roman" w:eastAsia="宋体" w:cs="Times New Roman"/>
      <w:szCs w:val="24"/>
      <w:shd w:val="clear" w:color="auto" w:fill="000080"/>
    </w:rPr>
  </w:style>
  <w:style w:type="character" w:customStyle="1" w:styleId="62">
    <w:name w:val="批注文字 字符"/>
    <w:basedOn w:val="44"/>
    <w:link w:val="16"/>
    <w:qFormat/>
    <w:uiPriority w:val="0"/>
    <w:rPr>
      <w:rFonts w:ascii="Times New Roman" w:hAnsi="Times New Roman" w:eastAsia="宋体" w:cs="Times New Roman"/>
      <w:szCs w:val="24"/>
    </w:rPr>
  </w:style>
  <w:style w:type="character" w:customStyle="1" w:styleId="63">
    <w:name w:val="正文文本 3 字符"/>
    <w:basedOn w:val="44"/>
    <w:link w:val="17"/>
    <w:qFormat/>
    <w:uiPriority w:val="0"/>
    <w:rPr>
      <w:rFonts w:ascii="Times New Roman" w:hAnsi="Times New Roman" w:eastAsia="宋体" w:cs="Times New Roman"/>
      <w:kern w:val="0"/>
      <w:sz w:val="16"/>
      <w:szCs w:val="16"/>
    </w:rPr>
  </w:style>
  <w:style w:type="character" w:customStyle="1" w:styleId="64">
    <w:name w:val="正文文本 字符"/>
    <w:basedOn w:val="44"/>
    <w:link w:val="2"/>
    <w:qFormat/>
    <w:uiPriority w:val="0"/>
    <w:rPr>
      <w:rFonts w:ascii="Times New Roman" w:hAnsi="Times New Roman" w:eastAsia="宋体" w:cs="Times New Roman"/>
      <w:kern w:val="0"/>
      <w:sz w:val="24"/>
      <w:szCs w:val="20"/>
    </w:rPr>
  </w:style>
  <w:style w:type="character" w:customStyle="1" w:styleId="65">
    <w:name w:val="正文文本缩进 字符"/>
    <w:basedOn w:val="44"/>
    <w:link w:val="18"/>
    <w:qFormat/>
    <w:uiPriority w:val="0"/>
    <w:rPr>
      <w:rFonts w:ascii="宋体" w:hAnsi="Times New Roman" w:eastAsia="宋体" w:cs="Times New Roman"/>
      <w:kern w:val="0"/>
      <w:sz w:val="28"/>
      <w:szCs w:val="20"/>
    </w:rPr>
  </w:style>
  <w:style w:type="character" w:customStyle="1" w:styleId="66">
    <w:name w:val="纯文本 字符"/>
    <w:basedOn w:val="44"/>
    <w:link w:val="23"/>
    <w:qFormat/>
    <w:uiPriority w:val="0"/>
    <w:rPr>
      <w:rFonts w:ascii="宋体" w:hAnsi="Courier New" w:eastAsia="宋体" w:cs="Courier New"/>
      <w:szCs w:val="21"/>
    </w:rPr>
  </w:style>
  <w:style w:type="character" w:customStyle="1" w:styleId="67">
    <w:name w:val="日期 字符"/>
    <w:basedOn w:val="44"/>
    <w:link w:val="25"/>
    <w:qFormat/>
    <w:uiPriority w:val="0"/>
    <w:rPr>
      <w:rFonts w:ascii="Times New Roman" w:hAnsi="Times New Roman" w:eastAsia="宋体" w:cs="Times New Roman"/>
      <w:sz w:val="28"/>
      <w:szCs w:val="20"/>
    </w:rPr>
  </w:style>
  <w:style w:type="character" w:customStyle="1" w:styleId="68">
    <w:name w:val="正文文本缩进 2 字符"/>
    <w:basedOn w:val="44"/>
    <w:link w:val="26"/>
    <w:qFormat/>
    <w:uiPriority w:val="0"/>
    <w:rPr>
      <w:rFonts w:ascii="Times New Roman" w:hAnsi="Times New Roman" w:eastAsia="宋体" w:cs="Times New Roman"/>
      <w:kern w:val="0"/>
      <w:sz w:val="20"/>
      <w:szCs w:val="20"/>
    </w:rPr>
  </w:style>
  <w:style w:type="character" w:customStyle="1" w:styleId="69">
    <w:name w:val="批注框文本 字符"/>
    <w:basedOn w:val="44"/>
    <w:link w:val="27"/>
    <w:qFormat/>
    <w:uiPriority w:val="0"/>
    <w:rPr>
      <w:rFonts w:ascii="Times New Roman" w:hAnsi="Times New Roman" w:eastAsia="宋体" w:cs="Times New Roman"/>
      <w:sz w:val="18"/>
      <w:szCs w:val="18"/>
    </w:rPr>
  </w:style>
  <w:style w:type="character" w:customStyle="1" w:styleId="70">
    <w:name w:val="页脚 字符"/>
    <w:basedOn w:val="44"/>
    <w:link w:val="28"/>
    <w:qFormat/>
    <w:uiPriority w:val="0"/>
    <w:rPr>
      <w:rFonts w:ascii="Times New Roman" w:hAnsi="Times New Roman" w:eastAsia="宋体" w:cs="Times New Roman"/>
      <w:sz w:val="18"/>
      <w:szCs w:val="18"/>
    </w:rPr>
  </w:style>
  <w:style w:type="character" w:customStyle="1" w:styleId="71">
    <w:name w:val="页眉 字符"/>
    <w:basedOn w:val="44"/>
    <w:link w:val="29"/>
    <w:qFormat/>
    <w:uiPriority w:val="0"/>
    <w:rPr>
      <w:rFonts w:ascii="Times New Roman" w:hAnsi="Times New Roman" w:eastAsia="宋体" w:cs="Times New Roman"/>
      <w:sz w:val="18"/>
      <w:szCs w:val="18"/>
    </w:rPr>
  </w:style>
  <w:style w:type="character" w:customStyle="1" w:styleId="72">
    <w:name w:val="副标题 字符"/>
    <w:basedOn w:val="44"/>
    <w:link w:val="32"/>
    <w:qFormat/>
    <w:uiPriority w:val="0"/>
    <w:rPr>
      <w:rFonts w:ascii="Cambria" w:hAnsi="Cambria" w:eastAsia="宋体" w:cs="Times New Roman"/>
      <w:b/>
      <w:bCs/>
      <w:kern w:val="28"/>
      <w:sz w:val="32"/>
      <w:szCs w:val="32"/>
    </w:rPr>
  </w:style>
  <w:style w:type="character" w:customStyle="1" w:styleId="73">
    <w:name w:val="正文文本缩进 3 字符"/>
    <w:basedOn w:val="44"/>
    <w:link w:val="34"/>
    <w:qFormat/>
    <w:uiPriority w:val="0"/>
    <w:rPr>
      <w:rFonts w:ascii="Times New Roman" w:hAnsi="Times New Roman" w:eastAsia="宋体" w:cs="Times New Roman"/>
      <w:kern w:val="0"/>
      <w:sz w:val="16"/>
      <w:szCs w:val="16"/>
    </w:rPr>
  </w:style>
  <w:style w:type="character" w:customStyle="1" w:styleId="74">
    <w:name w:val="正文文本 2 字符"/>
    <w:basedOn w:val="44"/>
    <w:link w:val="37"/>
    <w:qFormat/>
    <w:uiPriority w:val="0"/>
    <w:rPr>
      <w:rFonts w:ascii="Times New Roman" w:hAnsi="Times New Roman" w:eastAsia="宋体" w:cs="Times New Roman"/>
      <w:kern w:val="0"/>
      <w:sz w:val="20"/>
      <w:szCs w:val="20"/>
    </w:rPr>
  </w:style>
  <w:style w:type="character" w:customStyle="1" w:styleId="75">
    <w:name w:val="标题 字符"/>
    <w:basedOn w:val="44"/>
    <w:link w:val="39"/>
    <w:qFormat/>
    <w:uiPriority w:val="0"/>
    <w:rPr>
      <w:rFonts w:ascii="Arial" w:hAnsi="Arial" w:eastAsia="楷体_GB2312" w:cs="Times New Roman"/>
      <w:b/>
      <w:kern w:val="0"/>
      <w:sz w:val="32"/>
      <w:szCs w:val="32"/>
    </w:rPr>
  </w:style>
  <w:style w:type="character" w:customStyle="1" w:styleId="76">
    <w:name w:val="批注主题 字符"/>
    <w:basedOn w:val="62"/>
    <w:link w:val="40"/>
    <w:qFormat/>
    <w:uiPriority w:val="0"/>
    <w:rPr>
      <w:rFonts w:ascii="Times New Roman" w:hAnsi="Times New Roman" w:eastAsia="宋体" w:cs="Times New Roman"/>
      <w:b/>
      <w:bCs/>
      <w:szCs w:val="24"/>
    </w:rPr>
  </w:style>
  <w:style w:type="character" w:customStyle="1" w:styleId="77">
    <w:name w:val="Char Char Char Char Char Char Char Char Char"/>
    <w:qFormat/>
    <w:uiPriority w:val="0"/>
    <w:rPr>
      <w:sz w:val="18"/>
      <w:szCs w:val="18"/>
    </w:rPr>
  </w:style>
  <w:style w:type="character" w:customStyle="1" w:styleId="78">
    <w:name w:val="rili11"/>
    <w:qFormat/>
    <w:uiPriority w:val="0"/>
    <w:rPr>
      <w:sz w:val="21"/>
      <w:szCs w:val="21"/>
    </w:rPr>
  </w:style>
  <w:style w:type="character" w:customStyle="1" w:styleId="79">
    <w:name w:val="批注框文本 Char1"/>
    <w:qFormat/>
    <w:uiPriority w:val="0"/>
    <w:rPr>
      <w:kern w:val="2"/>
      <w:sz w:val="18"/>
      <w:szCs w:val="18"/>
    </w:rPr>
  </w:style>
  <w:style w:type="character" w:customStyle="1" w:styleId="80">
    <w:name w:val="Intense Emphasis"/>
    <w:qFormat/>
    <w:uiPriority w:val="0"/>
    <w:rPr>
      <w:b/>
      <w:bCs/>
      <w:i/>
      <w:iCs/>
      <w:color w:val="4F81BD"/>
    </w:rPr>
  </w:style>
  <w:style w:type="character" w:customStyle="1" w:styleId="81">
    <w:name w:val="标题5 Char Char"/>
    <w:link w:val="82"/>
    <w:qFormat/>
    <w:uiPriority w:val="0"/>
    <w:rPr>
      <w:rFonts w:ascii="Arial" w:hAnsi="Arial"/>
      <w:b/>
      <w:bCs/>
      <w:sz w:val="24"/>
      <w:szCs w:val="32"/>
    </w:rPr>
  </w:style>
  <w:style w:type="paragraph" w:customStyle="1" w:styleId="82">
    <w:name w:val="标题5"/>
    <w:basedOn w:val="6"/>
    <w:link w:val="81"/>
    <w:qFormat/>
    <w:uiPriority w:val="0"/>
    <w:pPr>
      <w:spacing w:before="260" w:after="260" w:line="413" w:lineRule="auto"/>
    </w:pPr>
    <w:rPr>
      <w:rFonts w:ascii="Arial" w:hAnsi="Arial" w:eastAsiaTheme="minorEastAsia" w:cstheme="minorBidi"/>
    </w:rPr>
  </w:style>
  <w:style w:type="character" w:customStyle="1" w:styleId="83">
    <w:name w:val="标题4 Char Char"/>
    <w:link w:val="84"/>
    <w:qFormat/>
    <w:uiPriority w:val="0"/>
    <w:rPr>
      <w:rFonts w:ascii="Arial" w:hAnsi="Arial"/>
      <w:b/>
      <w:bCs/>
      <w:sz w:val="24"/>
      <w:szCs w:val="32"/>
    </w:rPr>
  </w:style>
  <w:style w:type="paragraph" w:customStyle="1" w:styleId="84">
    <w:name w:val="标题4"/>
    <w:basedOn w:val="4"/>
    <w:next w:val="20"/>
    <w:link w:val="83"/>
    <w:qFormat/>
    <w:uiPriority w:val="0"/>
    <w:pPr>
      <w:keepLines/>
      <w:numPr>
        <w:numId w:val="0"/>
      </w:numPr>
      <w:spacing w:before="260" w:after="260" w:line="413" w:lineRule="auto"/>
    </w:pPr>
    <w:rPr>
      <w:rFonts w:ascii="Arial" w:hAnsi="Arial" w:eastAsiaTheme="minorEastAsia" w:cstheme="minorBidi"/>
      <w:b/>
      <w:bCs/>
      <w:sz w:val="24"/>
      <w:szCs w:val="32"/>
    </w:rPr>
  </w:style>
  <w:style w:type="character" w:customStyle="1" w:styleId="85">
    <w:name w:val="文档结构图 Char1"/>
    <w:qFormat/>
    <w:uiPriority w:val="0"/>
    <w:rPr>
      <w:rFonts w:ascii="宋体"/>
      <w:kern w:val="2"/>
      <w:sz w:val="18"/>
      <w:szCs w:val="18"/>
    </w:rPr>
  </w:style>
  <w:style w:type="character" w:customStyle="1" w:styleId="86">
    <w:name w:val="引用 Char1"/>
    <w:qFormat/>
    <w:uiPriority w:val="99"/>
    <w:rPr>
      <w:i/>
      <w:iCs/>
      <w:color w:val="000000"/>
      <w:kern w:val="2"/>
      <w:sz w:val="21"/>
      <w:szCs w:val="24"/>
    </w:rPr>
  </w:style>
  <w:style w:type="character" w:customStyle="1" w:styleId="87">
    <w:name w:val="Book Title"/>
    <w:qFormat/>
    <w:uiPriority w:val="0"/>
    <w:rPr>
      <w:b/>
      <w:bCs/>
      <w:smallCaps/>
      <w:spacing w:val="5"/>
    </w:rPr>
  </w:style>
  <w:style w:type="character" w:customStyle="1" w:styleId="88">
    <w:name w:val="Char Char"/>
    <w:qFormat/>
    <w:uiPriority w:val="0"/>
    <w:rPr>
      <w:sz w:val="18"/>
      <w:szCs w:val="18"/>
    </w:rPr>
  </w:style>
  <w:style w:type="character" w:customStyle="1" w:styleId="89">
    <w:name w:val="批注文字 Char"/>
    <w:qFormat/>
    <w:uiPriority w:val="0"/>
    <w:rPr>
      <w:kern w:val="2"/>
      <w:sz w:val="21"/>
      <w:szCs w:val="24"/>
    </w:rPr>
  </w:style>
  <w:style w:type="character" w:customStyle="1" w:styleId="90">
    <w:name w:val="副标题 Char1"/>
    <w:qFormat/>
    <w:uiPriority w:val="0"/>
    <w:rPr>
      <w:rFonts w:ascii="Cambria" w:hAnsi="Cambria" w:cs="Times New Roman"/>
      <w:b/>
      <w:bCs/>
      <w:kern w:val="28"/>
      <w:sz w:val="32"/>
      <w:szCs w:val="32"/>
    </w:rPr>
  </w:style>
  <w:style w:type="character" w:customStyle="1" w:styleId="91">
    <w:name w:val="普通文字1 Char"/>
    <w:qFormat/>
    <w:uiPriority w:val="0"/>
    <w:rPr>
      <w:rFonts w:ascii="宋体" w:hAnsi="Courier New" w:eastAsia="宋体"/>
      <w:kern w:val="2"/>
      <w:sz w:val="21"/>
      <w:lang w:val="en-US" w:eastAsia="zh-CN" w:bidi="ar-SA"/>
    </w:rPr>
  </w:style>
  <w:style w:type="character" w:customStyle="1" w:styleId="92">
    <w:name w:val="Subtle Reference"/>
    <w:qFormat/>
    <w:uiPriority w:val="0"/>
    <w:rPr>
      <w:smallCaps/>
      <w:color w:val="C0504D"/>
      <w:u w:val="single"/>
    </w:rPr>
  </w:style>
  <w:style w:type="character" w:customStyle="1" w:styleId="93">
    <w:name w:val="引用 字符"/>
    <w:link w:val="94"/>
    <w:qFormat/>
    <w:uiPriority w:val="0"/>
    <w:rPr>
      <w:i/>
      <w:iCs/>
      <w:color w:val="000000"/>
    </w:rPr>
  </w:style>
  <w:style w:type="paragraph" w:styleId="94">
    <w:name w:val="Quote"/>
    <w:basedOn w:val="1"/>
    <w:next w:val="1"/>
    <w:link w:val="93"/>
    <w:qFormat/>
    <w:uiPriority w:val="0"/>
    <w:rPr>
      <w:i/>
      <w:iCs/>
      <w:color w:val="000000"/>
    </w:rPr>
  </w:style>
  <w:style w:type="character" w:customStyle="1" w:styleId="95">
    <w:name w:val="引用 字符1"/>
    <w:basedOn w:val="44"/>
    <w:qFormat/>
    <w:uiPriority w:val="29"/>
    <w:rPr>
      <w:i/>
      <w:iCs/>
      <w:color w:val="404040" w:themeColor="text1" w:themeTint="BF"/>
      <w14:textFill>
        <w14:solidFill>
          <w14:schemeClr w14:val="tx1">
            <w14:lumMod w14:val="75000"/>
            <w14:lumOff w14:val="25000"/>
          </w14:schemeClr>
        </w14:solidFill>
      </w14:textFill>
    </w:rPr>
  </w:style>
  <w:style w:type="character" w:customStyle="1" w:styleId="96">
    <w:name w:val="Subtle Emphasis"/>
    <w:qFormat/>
    <w:uiPriority w:val="0"/>
    <w:rPr>
      <w:i/>
      <w:iCs/>
      <w:color w:val="808080"/>
    </w:rPr>
  </w:style>
  <w:style w:type="character" w:customStyle="1" w:styleId="97">
    <w:name w:val="批注主题 Char1"/>
    <w:qFormat/>
    <w:uiPriority w:val="0"/>
    <w:rPr>
      <w:b/>
      <w:bCs/>
      <w:kern w:val="2"/>
      <w:sz w:val="21"/>
      <w:szCs w:val="22"/>
    </w:rPr>
  </w:style>
  <w:style w:type="character" w:customStyle="1" w:styleId="98">
    <w:name w:val="textcontents"/>
    <w:qFormat/>
    <w:uiPriority w:val="0"/>
    <w:rPr>
      <w:rFonts w:cs="Times New Roman"/>
    </w:rPr>
  </w:style>
  <w:style w:type="character" w:customStyle="1" w:styleId="99">
    <w:name w:val="Blockquote Char"/>
    <w:link w:val="100"/>
    <w:qFormat/>
    <w:uiPriority w:val="0"/>
    <w:rPr>
      <w:rFonts w:eastAsia="宋体"/>
      <w:sz w:val="24"/>
    </w:rPr>
  </w:style>
  <w:style w:type="paragraph" w:customStyle="1" w:styleId="100">
    <w:name w:val="Blockquote"/>
    <w:basedOn w:val="1"/>
    <w:link w:val="99"/>
    <w:qFormat/>
    <w:uiPriority w:val="0"/>
    <w:pPr>
      <w:autoSpaceDE w:val="0"/>
      <w:autoSpaceDN w:val="0"/>
      <w:adjustRightInd w:val="0"/>
      <w:spacing w:before="100" w:after="100"/>
      <w:ind w:left="360" w:right="360"/>
      <w:jc w:val="left"/>
    </w:pPr>
    <w:rPr>
      <w:rFonts w:eastAsia="宋体"/>
      <w:sz w:val="24"/>
    </w:rPr>
  </w:style>
  <w:style w:type="character" w:customStyle="1" w:styleId="101">
    <w:name w:val="明显引用 字符"/>
    <w:link w:val="102"/>
    <w:qFormat/>
    <w:uiPriority w:val="0"/>
    <w:rPr>
      <w:b/>
      <w:bCs/>
      <w:i/>
      <w:iCs/>
      <w:color w:val="4F81BD"/>
    </w:rPr>
  </w:style>
  <w:style w:type="paragraph" w:styleId="102">
    <w:name w:val="Intense Quote"/>
    <w:basedOn w:val="1"/>
    <w:next w:val="1"/>
    <w:link w:val="101"/>
    <w:qFormat/>
    <w:uiPriority w:val="0"/>
    <w:pPr>
      <w:pBdr>
        <w:bottom w:val="single" w:color="4F81BD" w:sz="4" w:space="4"/>
      </w:pBdr>
      <w:spacing w:before="200" w:after="280"/>
      <w:ind w:left="936" w:right="936"/>
    </w:pPr>
    <w:rPr>
      <w:b/>
      <w:bCs/>
      <w:i/>
      <w:iCs/>
      <w:color w:val="4F81BD"/>
    </w:rPr>
  </w:style>
  <w:style w:type="character" w:customStyle="1" w:styleId="103">
    <w:name w:val="明显引用 字符1"/>
    <w:basedOn w:val="44"/>
    <w:qFormat/>
    <w:uiPriority w:val="30"/>
    <w:rPr>
      <w:i/>
      <w:iCs/>
      <w:color w:val="5B9BD5" w:themeColor="accent1"/>
      <w14:textFill>
        <w14:solidFill>
          <w14:schemeClr w14:val="accent1"/>
        </w14:solidFill>
      </w14:textFill>
    </w:rPr>
  </w:style>
  <w:style w:type="character" w:customStyle="1" w:styleId="104">
    <w:name w:val="bds_nopic2"/>
    <w:qFormat/>
    <w:uiPriority w:val="0"/>
    <w:rPr>
      <w:rFonts w:ascii="Times New Roman" w:hAnsi="Times New Roman" w:eastAsia="宋体"/>
    </w:rPr>
  </w:style>
  <w:style w:type="character" w:customStyle="1" w:styleId="105">
    <w:name w:val="p0 Char"/>
    <w:link w:val="106"/>
    <w:qFormat/>
    <w:uiPriority w:val="0"/>
    <w:rPr>
      <w:szCs w:val="21"/>
    </w:rPr>
  </w:style>
  <w:style w:type="paragraph" w:customStyle="1" w:styleId="106">
    <w:name w:val="p0"/>
    <w:basedOn w:val="1"/>
    <w:link w:val="105"/>
    <w:qFormat/>
    <w:uiPriority w:val="0"/>
    <w:pPr>
      <w:widowControl/>
    </w:pPr>
    <w:rPr>
      <w:szCs w:val="21"/>
    </w:rPr>
  </w:style>
  <w:style w:type="character" w:customStyle="1" w:styleId="107">
    <w:name w:val="批注文字 Char Char"/>
    <w:qFormat/>
    <w:uiPriority w:val="0"/>
    <w:rPr>
      <w:rFonts w:ascii="宋体" w:hAnsi="Times New Roman" w:eastAsia="宋体" w:cs="Times New Roman"/>
      <w:sz w:val="28"/>
      <w:szCs w:val="20"/>
    </w:rPr>
  </w:style>
  <w:style w:type="character" w:customStyle="1" w:styleId="108">
    <w:name w:val="明显引用 Char1"/>
    <w:qFormat/>
    <w:uiPriority w:val="99"/>
    <w:rPr>
      <w:b/>
      <w:bCs/>
      <w:i/>
      <w:iCs/>
      <w:color w:val="4F81BD"/>
      <w:kern w:val="2"/>
      <w:sz w:val="21"/>
      <w:szCs w:val="24"/>
    </w:rPr>
  </w:style>
  <w:style w:type="character" w:customStyle="1" w:styleId="109">
    <w:name w:val="正文文本 Char1"/>
    <w:qFormat/>
    <w:uiPriority w:val="0"/>
    <w:rPr>
      <w:kern w:val="2"/>
      <w:sz w:val="21"/>
      <w:szCs w:val="22"/>
    </w:rPr>
  </w:style>
  <w:style w:type="character" w:customStyle="1" w:styleId="110">
    <w:name w:val="Intense Reference"/>
    <w:qFormat/>
    <w:uiPriority w:val="0"/>
    <w:rPr>
      <w:b/>
      <w:bCs/>
      <w:smallCaps/>
      <w:color w:val="C0504D"/>
      <w:spacing w:val="5"/>
      <w:u w:val="single"/>
    </w:rPr>
  </w:style>
  <w:style w:type="character" w:customStyle="1" w:styleId="111">
    <w:name w:val="Blockquote Char Char"/>
    <w:qFormat/>
    <w:locked/>
    <w:uiPriority w:val="0"/>
    <w:rPr>
      <w:sz w:val="24"/>
    </w:rPr>
  </w:style>
  <w:style w:type="character" w:customStyle="1" w:styleId="112">
    <w:name w:val="日期 Char1"/>
    <w:qFormat/>
    <w:uiPriority w:val="0"/>
    <w:rPr>
      <w:kern w:val="2"/>
      <w:sz w:val="21"/>
      <w:szCs w:val="22"/>
    </w:rPr>
  </w:style>
  <w:style w:type="character" w:customStyle="1" w:styleId="113">
    <w:name w:val="正文缩进 Char1"/>
    <w:qFormat/>
    <w:uiPriority w:val="0"/>
    <w:rPr>
      <w:rFonts w:eastAsia="宋体"/>
      <w:kern w:val="2"/>
      <w:sz w:val="21"/>
      <w:lang w:val="en-US" w:eastAsia="zh-CN" w:bidi="ar-SA"/>
    </w:rPr>
  </w:style>
  <w:style w:type="paragraph" w:customStyle="1" w:styleId="114">
    <w:name w:val="Char Char1"/>
    <w:basedOn w:val="1"/>
    <w:qFormat/>
    <w:uiPriority w:val="0"/>
    <w:pPr>
      <w:adjustRightInd w:val="0"/>
      <w:spacing w:line="440" w:lineRule="exact"/>
    </w:pPr>
    <w:rPr>
      <w:rFonts w:ascii="宋体" w:hAnsi="Times New Roman" w:eastAsia="宋体" w:cs="Times New Roman"/>
      <w:kern w:val="0"/>
      <w:sz w:val="28"/>
      <w:szCs w:val="27"/>
    </w:rPr>
  </w:style>
  <w:style w:type="paragraph" w:customStyle="1" w:styleId="115">
    <w:name w:val="Char Char Char Char Char Char"/>
    <w:basedOn w:val="1"/>
    <w:qFormat/>
    <w:uiPriority w:val="0"/>
    <w:pPr>
      <w:widowControl/>
      <w:spacing w:after="160" w:line="240" w:lineRule="exact"/>
      <w:jc w:val="left"/>
    </w:pPr>
    <w:rPr>
      <w:rFonts w:ascii="Times New Roman" w:hAnsi="Times New Roman" w:eastAsia="宋体" w:cs="Times New Roman"/>
      <w:szCs w:val="20"/>
    </w:rPr>
  </w:style>
  <w:style w:type="paragraph" w:customStyle="1" w:styleId="116">
    <w:name w:val="Char Char1 Char Char Char Char Char Char Char Char Char Char Char Char Char1"/>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7">
    <w:name w:val="Char Char Char Char Char Char Char1"/>
    <w:basedOn w:val="1"/>
    <w:qFormat/>
    <w:uiPriority w:val="0"/>
    <w:rPr>
      <w:rFonts w:ascii="Tahoma" w:hAnsi="Tahoma" w:eastAsia="宋体" w:cs="Times New Roman"/>
      <w:sz w:val="24"/>
      <w:szCs w:val="24"/>
    </w:rPr>
  </w:style>
  <w:style w:type="paragraph" w:customStyle="1" w:styleId="118">
    <w:name w:val="Revision"/>
    <w:qFormat/>
    <w:uiPriority w:val="0"/>
    <w:rPr>
      <w:rFonts w:ascii="Times New Roman" w:hAnsi="Times New Roman" w:eastAsia="宋体" w:cs="Times New Roman"/>
      <w:kern w:val="2"/>
      <w:sz w:val="21"/>
      <w:szCs w:val="24"/>
      <w:lang w:val="en-US" w:eastAsia="zh-CN" w:bidi="ar-SA"/>
    </w:rPr>
  </w:style>
  <w:style w:type="paragraph" w:customStyle="1" w:styleId="119">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eastAsia="宋体" w:cs="Times New Roman"/>
      <w:kern w:val="0"/>
      <w:sz w:val="20"/>
      <w:szCs w:val="20"/>
    </w:rPr>
  </w:style>
  <w:style w:type="paragraph" w:customStyle="1" w:styleId="120">
    <w:name w:val="样式 标题 2 + Times New Roman 四号 非加粗 段前: 5 磅 段后: 0 磅 行距: 固定值 20..."/>
    <w:basedOn w:val="4"/>
    <w:qFormat/>
    <w:uiPriority w:val="0"/>
    <w:pPr>
      <w:keepLines/>
      <w:numPr>
        <w:numId w:val="0"/>
      </w:numPr>
      <w:spacing w:before="100" w:line="400" w:lineRule="exact"/>
    </w:pPr>
    <w:rPr>
      <w:rFonts w:eastAsia="黑体" w:cs="宋体"/>
      <w:kern w:val="0"/>
    </w:rPr>
  </w:style>
  <w:style w:type="paragraph" w:customStyle="1" w:styleId="121">
    <w:name w:val="样式1"/>
    <w:basedOn w:val="1"/>
    <w:qFormat/>
    <w:uiPriority w:val="0"/>
    <w:pPr>
      <w:numPr>
        <w:ilvl w:val="0"/>
        <w:numId w:val="2"/>
      </w:numPr>
      <w:tabs>
        <w:tab w:val="left" w:pos="360"/>
        <w:tab w:val="left" w:pos="709"/>
      </w:tabs>
      <w:adjustRightInd w:val="0"/>
      <w:textAlignment w:val="baseline"/>
    </w:pPr>
    <w:rPr>
      <w:rFonts w:ascii="宋体" w:hAnsi="宋体" w:eastAsia="宋体" w:cs="Times New Roman"/>
      <w:kern w:val="0"/>
      <w:szCs w:val="21"/>
    </w:rPr>
  </w:style>
  <w:style w:type="paragraph" w:customStyle="1" w:styleId="122">
    <w:name w:val="flNote"/>
    <w:basedOn w:val="1"/>
    <w:qFormat/>
    <w:uiPriority w:val="0"/>
    <w:pPr>
      <w:adjustRightInd w:val="0"/>
      <w:spacing w:before="320" w:after="160" w:line="360" w:lineRule="atLeast"/>
      <w:jc w:val="center"/>
      <w:textAlignment w:val="baseline"/>
    </w:pPr>
    <w:rPr>
      <w:rFonts w:ascii="Arial" w:hAnsi="Times New Roman" w:eastAsia="黑体" w:cs="Times New Roman"/>
      <w:kern w:val="0"/>
      <w:sz w:val="30"/>
      <w:szCs w:val="20"/>
    </w:rPr>
  </w:style>
  <w:style w:type="paragraph" w:customStyle="1" w:styleId="123">
    <w:name w:val="空半行"/>
    <w:basedOn w:val="1"/>
    <w:qFormat/>
    <w:uiPriority w:val="0"/>
    <w:pPr>
      <w:adjustRightInd w:val="0"/>
      <w:spacing w:line="120" w:lineRule="exact"/>
      <w:textAlignment w:val="baseline"/>
    </w:pPr>
    <w:rPr>
      <w:rFonts w:ascii="Times New Roman" w:hAnsi="Times New Roman" w:eastAsia="仿宋_GB2312" w:cs="Times New Roman"/>
      <w:color w:val="FFFFFF"/>
      <w:kern w:val="0"/>
      <w:sz w:val="30"/>
      <w:szCs w:val="20"/>
    </w:rPr>
  </w:style>
  <w:style w:type="paragraph" w:styleId="124">
    <w:name w:val="List Paragraph"/>
    <w:basedOn w:val="1"/>
    <w:qFormat/>
    <w:uiPriority w:val="0"/>
    <w:pPr>
      <w:ind w:firstLine="420" w:firstLineChars="200"/>
    </w:pPr>
    <w:rPr>
      <w:rFonts w:ascii="Times New Roman" w:hAnsi="Times New Roman" w:eastAsia="宋体" w:cs="Times New Roman"/>
      <w:szCs w:val="24"/>
    </w:rPr>
  </w:style>
  <w:style w:type="paragraph" w:customStyle="1" w:styleId="125">
    <w:name w:val="表格"/>
    <w:basedOn w:val="1"/>
    <w:qFormat/>
    <w:uiPriority w:val="0"/>
    <w:pPr>
      <w:spacing w:line="400" w:lineRule="exact"/>
    </w:pPr>
    <w:rPr>
      <w:rFonts w:ascii="Times New Roman" w:hAnsi="Times New Roman" w:eastAsia="宋体" w:cs="Times New Roman"/>
      <w:sz w:val="24"/>
      <w:szCs w:val="24"/>
    </w:rPr>
  </w:style>
  <w:style w:type="paragraph" w:customStyle="1" w:styleId="126">
    <w:name w:val="样式 标题 3 + (中文) 黑体 小四 非加粗 段前: 7.8 磅 段后: 0 磅 行距: 固定值 20 磅"/>
    <w:basedOn w:val="6"/>
    <w:qFormat/>
    <w:uiPriority w:val="0"/>
    <w:pPr>
      <w:spacing w:line="400" w:lineRule="exact"/>
    </w:pPr>
    <w:rPr>
      <w:rFonts w:eastAsia="黑体" w:cs="宋体"/>
      <w:b w:val="0"/>
      <w:bCs w:val="0"/>
      <w:szCs w:val="20"/>
    </w:rPr>
  </w:style>
  <w:style w:type="paragraph" w:customStyle="1" w:styleId="127">
    <w:name w:val="4"/>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8">
    <w:name w:val="目录"/>
    <w:basedOn w:val="1"/>
    <w:qFormat/>
    <w:uiPriority w:val="0"/>
    <w:pPr>
      <w:widowControl/>
      <w:jc w:val="center"/>
    </w:pPr>
    <w:rPr>
      <w:rFonts w:ascii="宋体" w:hAnsi="Times New Roman" w:eastAsia="宋体" w:cs="Times New Roman"/>
      <w:b/>
      <w:kern w:val="0"/>
      <w:sz w:val="36"/>
      <w:szCs w:val="20"/>
    </w:rPr>
  </w:style>
  <w:style w:type="paragraph" w:customStyle="1" w:styleId="129">
    <w:name w:val="默认段落字体 Para Char Char Char Char Char Char Char"/>
    <w:basedOn w:val="1"/>
    <w:qFormat/>
    <w:uiPriority w:val="0"/>
    <w:rPr>
      <w:rFonts w:ascii="Tahoma" w:hAnsi="Tahoma" w:eastAsia="宋体" w:cs="Times New Roman"/>
      <w:sz w:val="24"/>
      <w:szCs w:val="20"/>
    </w:rPr>
  </w:style>
  <w:style w:type="paragraph" w:customStyle="1" w:styleId="130">
    <w:name w:val="正文2"/>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paragraph" w:customStyle="1" w:styleId="131">
    <w:name w:val="正文1"/>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paragraph" w:customStyle="1" w:styleId="132">
    <w:name w:val="Char Char Char Char"/>
    <w:basedOn w:val="1"/>
    <w:qFormat/>
    <w:uiPriority w:val="0"/>
    <w:pPr>
      <w:adjustRightInd w:val="0"/>
      <w:spacing w:line="440" w:lineRule="exact"/>
    </w:pPr>
    <w:rPr>
      <w:rFonts w:ascii="宋体" w:hAnsi="Times New Roman" w:eastAsia="宋体" w:cs="Times New Roman"/>
      <w:kern w:val="0"/>
      <w:sz w:val="28"/>
      <w:szCs w:val="27"/>
    </w:rPr>
  </w:style>
  <w:style w:type="paragraph" w:customStyle="1" w:styleId="133">
    <w:name w:val="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4">
    <w:name w:val="正文11"/>
    <w:qFormat/>
    <w:uiPriority w:val="0"/>
    <w:pPr>
      <w:widowControl w:val="0"/>
      <w:adjustRightInd w:val="0"/>
      <w:spacing w:line="312" w:lineRule="atLeast"/>
      <w:jc w:val="both"/>
    </w:pPr>
    <w:rPr>
      <w:rFonts w:ascii="宋体" w:hAnsi="Times New Roman" w:eastAsia="宋体" w:cs="Times New Roman"/>
      <w:kern w:val="0"/>
      <w:sz w:val="34"/>
      <w:szCs w:val="20"/>
      <w:lang w:val="en-US" w:eastAsia="zh-CN" w:bidi="ar-SA"/>
    </w:rPr>
  </w:style>
  <w:style w:type="paragraph" w:customStyle="1" w:styleId="135">
    <w:name w:val="Char Char Char Char Char Char1"/>
    <w:basedOn w:val="1"/>
    <w:qFormat/>
    <w:uiPriority w:val="0"/>
    <w:pPr>
      <w:widowControl/>
      <w:spacing w:after="160" w:line="240" w:lineRule="exact"/>
      <w:jc w:val="left"/>
    </w:pPr>
    <w:rPr>
      <w:rFonts w:ascii="Times New Roman" w:hAnsi="Times New Roman" w:eastAsia="宋体" w:cs="Times New Roman"/>
      <w:szCs w:val="20"/>
    </w:rPr>
  </w:style>
  <w:style w:type="paragraph" w:customStyle="1" w:styleId="136">
    <w:name w:val="Char Char1 Char Char Char Char Char Char Char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7">
    <w:name w:val="Char1"/>
    <w:basedOn w:val="1"/>
    <w:qFormat/>
    <w:uiPriority w:val="0"/>
    <w:rPr>
      <w:rFonts w:ascii="Times New Roman" w:hAnsi="Times New Roman" w:eastAsia="宋体" w:cs="Times New Roman"/>
      <w:szCs w:val="21"/>
    </w:rPr>
  </w:style>
  <w:style w:type="paragraph" w:styleId="138">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9">
    <w:name w:val="列出段落1"/>
    <w:basedOn w:val="1"/>
    <w:qFormat/>
    <w:uiPriority w:val="0"/>
    <w:pPr>
      <w:ind w:firstLine="420" w:firstLineChars="200"/>
    </w:pPr>
    <w:rPr>
      <w:rFonts w:ascii="Times New Roman" w:hAnsi="Times New Roman" w:eastAsia="宋体" w:cs="Times New Roman"/>
      <w:szCs w:val="21"/>
    </w:rPr>
  </w:style>
  <w:style w:type="paragraph" w:customStyle="1" w:styleId="140">
    <w:name w:val="图标题"/>
    <w:basedOn w:val="1"/>
    <w:qFormat/>
    <w:uiPriority w:val="0"/>
    <w:pPr>
      <w:adjustRightInd w:val="0"/>
      <w:spacing w:line="360" w:lineRule="atLeast"/>
      <w:jc w:val="left"/>
      <w:textAlignment w:val="baseline"/>
    </w:pPr>
    <w:rPr>
      <w:rFonts w:ascii="Times New Roman" w:hAnsi="Times New Roman" w:eastAsia="宋体" w:cs="Times New Roman"/>
      <w:kern w:val="0"/>
      <w:sz w:val="24"/>
      <w:szCs w:val="20"/>
    </w:rPr>
  </w:style>
  <w:style w:type="paragraph" w:customStyle="1" w:styleId="141">
    <w:name w:val="Char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42">
    <w:name w:val="样式 首行缩进:  2 字符"/>
    <w:basedOn w:val="1"/>
    <w:qFormat/>
    <w:uiPriority w:val="0"/>
    <w:pPr>
      <w:spacing w:line="400" w:lineRule="exact"/>
      <w:ind w:firstLine="200" w:firstLineChars="200"/>
    </w:pPr>
    <w:rPr>
      <w:rFonts w:ascii="Times New Roman" w:hAnsi="Times New Roman" w:eastAsia="宋体" w:cs="宋体"/>
      <w:sz w:val="24"/>
      <w:szCs w:val="24"/>
    </w:rPr>
  </w:style>
  <w:style w:type="paragraph" w:customStyle="1" w:styleId="143">
    <w:name w:val="表格文字"/>
    <w:basedOn w:val="1"/>
    <w:qFormat/>
    <w:uiPriority w:val="0"/>
    <w:pPr>
      <w:adjustRightInd w:val="0"/>
      <w:spacing w:line="420" w:lineRule="atLeast"/>
      <w:jc w:val="left"/>
      <w:textAlignment w:val="baseline"/>
    </w:pPr>
    <w:rPr>
      <w:rFonts w:ascii="Times New Roman" w:hAnsi="Times New Roman" w:eastAsia="宋体" w:cs="Times New Roman"/>
      <w:kern w:val="0"/>
      <w:szCs w:val="20"/>
    </w:rPr>
  </w:style>
  <w:style w:type="paragraph" w:customStyle="1" w:styleId="144">
    <w:name w:val="Char Char Char"/>
    <w:basedOn w:val="1"/>
    <w:qFormat/>
    <w:uiPriority w:val="0"/>
    <w:pPr>
      <w:spacing w:line="360" w:lineRule="auto"/>
      <w:jc w:val="center"/>
    </w:pPr>
    <w:rPr>
      <w:rFonts w:ascii="Tahoma" w:hAnsi="Tahoma" w:eastAsia="宋体" w:cs="Times New Roman"/>
      <w:sz w:val="24"/>
      <w:szCs w:val="20"/>
    </w:rPr>
  </w:style>
  <w:style w:type="paragraph" w:customStyle="1" w:styleId="145">
    <w:name w:val="Char Char Char1"/>
    <w:basedOn w:val="1"/>
    <w:qFormat/>
    <w:uiPriority w:val="0"/>
    <w:pPr>
      <w:widowControl/>
      <w:spacing w:after="160" w:line="240" w:lineRule="exact"/>
      <w:jc w:val="left"/>
    </w:pPr>
    <w:rPr>
      <w:rFonts w:ascii="Times New Roman" w:hAnsi="Times New Roman" w:eastAsia="宋体" w:cs="Times New Roman"/>
      <w:szCs w:val="24"/>
    </w:rPr>
  </w:style>
  <w:style w:type="paragraph" w:customStyle="1" w:styleId="146">
    <w:name w:val="TOC Heading"/>
    <w:basedOn w:val="3"/>
    <w:next w:val="1"/>
    <w:qFormat/>
    <w:uiPriority w:val="0"/>
    <w:pPr>
      <w:keepLines/>
      <w:widowControl w:val="0"/>
      <w:spacing w:before="340" w:after="330" w:line="576" w:lineRule="auto"/>
      <w:jc w:val="both"/>
      <w:outlineLvl w:val="9"/>
    </w:pPr>
    <w:rPr>
      <w:rFonts w:ascii="Calibri" w:hAnsi="Calibri"/>
      <w:b/>
      <w:bCs/>
      <w:kern w:val="44"/>
      <w:sz w:val="44"/>
      <w:szCs w:val="44"/>
    </w:rPr>
  </w:style>
  <w:style w:type="paragraph" w:customStyle="1" w:styleId="147">
    <w:name w:val="Char Char Char2"/>
    <w:basedOn w:val="1"/>
    <w:qFormat/>
    <w:uiPriority w:val="0"/>
    <w:pPr>
      <w:widowControl/>
      <w:spacing w:after="160" w:line="240" w:lineRule="exact"/>
      <w:jc w:val="left"/>
    </w:pPr>
    <w:rPr>
      <w:rFonts w:ascii="Times New Roman" w:hAnsi="Times New Roman" w:eastAsia="宋体" w:cs="Times New Roman"/>
      <w:szCs w:val="24"/>
    </w:rPr>
  </w:style>
  <w:style w:type="paragraph" w:customStyle="1" w:styleId="148">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149">
    <w:name w:val="正文首行缩进两字符"/>
    <w:basedOn w:val="1"/>
    <w:qFormat/>
    <w:uiPriority w:val="0"/>
    <w:pPr>
      <w:spacing w:line="360" w:lineRule="auto"/>
      <w:ind w:firstLine="200" w:firstLineChars="200"/>
    </w:pPr>
    <w:rPr>
      <w:rFonts w:ascii="Times New Roman" w:hAnsi="Times New Roman" w:eastAsia="宋体" w:cs="Times New Roman"/>
      <w:szCs w:val="24"/>
    </w:rPr>
  </w:style>
  <w:style w:type="paragraph" w:customStyle="1" w:styleId="150">
    <w:name w:val="Char Char Char Char Char Char Char"/>
    <w:basedOn w:val="1"/>
    <w:qFormat/>
    <w:uiPriority w:val="0"/>
    <w:rPr>
      <w:rFonts w:ascii="Tahoma" w:hAnsi="Tahoma" w:eastAsia="宋体" w:cs="Times New Roman"/>
      <w:sz w:val="24"/>
      <w:szCs w:val="24"/>
    </w:rPr>
  </w:style>
  <w:style w:type="paragraph" w:customStyle="1" w:styleId="151">
    <w:name w:val="Char Char Char Char1"/>
    <w:basedOn w:val="1"/>
    <w:qFormat/>
    <w:uiPriority w:val="0"/>
    <w:rPr>
      <w:rFonts w:ascii="Tahoma" w:hAnsi="Tahoma" w:eastAsia="宋体" w:cs="Times New Roman"/>
      <w:sz w:val="24"/>
      <w:szCs w:val="20"/>
    </w:rPr>
  </w:style>
  <w:style w:type="paragraph" w:customStyle="1" w:styleId="152">
    <w:name w:val="Char Char Char Char Char Char Char2"/>
    <w:basedOn w:val="1"/>
    <w:qFormat/>
    <w:uiPriority w:val="0"/>
    <w:rPr>
      <w:rFonts w:ascii="Tahoma" w:hAnsi="Tahoma" w:eastAsia="宋体" w:cs="Times New Roman"/>
      <w:sz w:val="24"/>
      <w:szCs w:val="20"/>
    </w:rPr>
  </w:style>
  <w:style w:type="paragraph" w:customStyle="1" w:styleId="153">
    <w:name w:val="Char Char1 Char Char Char Char Char Char Char Char Char Char Char Char Char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5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44</Pages>
  <Words>17446</Words>
  <Characters>18176</Characters>
  <Lines>157</Lines>
  <Paragraphs>44</Paragraphs>
  <TotalTime>0</TotalTime>
  <ScaleCrop>false</ScaleCrop>
  <LinksUpToDate>false</LinksUpToDate>
  <CharactersWithSpaces>23538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2025-01-15T06:22:00Z</dcterms:created>
  <dc:creator>Administrator</dc:creator>
  <cp:lastModifiedBy>代理公司</cp:lastModifiedBy>
  <dcterms:modified xsi:type="dcterms:W3CDTF">2025-06-25T10:05:40Z</dcterms:modified>
  <cp:revision>155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eyJoZGlkIjoiNjNkNDg3OTA4NWU2OGUyYmUwMWM4NTZiMjNmMjg3MWMiLCJ1c2VySWQiOiIxNjI2NTk1MzY4In0=</vt:lpwstr>
  </property>
  <property fmtid="{D5CDD505-2E9C-101B-9397-08002B2CF9AE}" pid="3" name="KSOProductBuildVer">
    <vt:lpwstr>2052-12.1.0.19770</vt:lpwstr>
  </property>
  <property fmtid="{D5CDD505-2E9C-101B-9397-08002B2CF9AE}" pid="4" name="ICV">
    <vt:lpwstr>8C3A923E535A409E912E3E8391681A52_12</vt:lpwstr>
  </property>
</Properties>
</file>