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版本号：2025-ZYD-ZB-00820250701002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安村镇联村集体经济设施蔬菜第三产业园(二期)项目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2025-ZYD-ZB-008</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安村镇联村集体经济设施蔬菜第三产业园(二期)项目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2025-ZYD-ZB-008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安村镇联村集体经济设施蔬菜第三产业园(二期)项目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村镇联村集体经济设施蔬菜第三产业园(二期)项目建设地点位于蓝田县安村镇龙村。规划范围内现状土地以设施农用地和旱地为主，无建筑物，以构筑物为主。主要建设内容：园内建连栋拱棚共计16座，总面积30344.00平方米。基地规划生产路宽4.5米,占地1909.17平方米。新建1个井房、400m机井；阀门井一座,DN110闸阀。（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采购包1（安村镇联村集体经济设施蔬菜第三产业园(二期)项目）：属于专门面向中小企业采购。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3、资质要求：具备建设行政主管部门核发的建筑工程施工总承包三级（含三级）以上资质，且具备合格有效的安全生产许可证；</w:t>
      </w:r>
    </w:p>
    <w:p>
      <w:pPr>
        <w:pStyle w:val="null3"/>
      </w:pPr>
      <w:r>
        <w:rPr>
          <w:rFonts w:ascii="仿宋_GB2312" w:hAnsi="仿宋_GB2312" w:cs="仿宋_GB2312" w:eastAsia="仿宋_GB2312"/>
        </w:rPr>
        <w:t>4、项目经理要求：拟派项目经理具有建筑工程专业二级及以上注册建造师证书和有效的安全生产考核证书（B证），在本单位注册且无在建工程（提供无在建工程承诺书）；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15091767777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陕西省西安市新城区西安市新城区东元西路东岸阳光6号楼2711号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采购包1：3,895,809.34元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（1）在工程项目完成后，按照合同、设计文件、技术规范和相关法律法规，对工程的质量、功能、安全等方面进行全面检查和确认。确保工程符合设计要求，达到使用标准，具备交付使用条件。 （2）验收不合格的立即整改，必须在接到通知后 7 个日历天内确保通过验收。 （3）验收依据 1）合同文本及合同补充文件（条款） 2）招标文件 3）投标文件 4）《建设工程质量管理条例》、《建筑工程施工质量验收统一标准》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地址：西安市新城区石家街东元西路东岸国际2711室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3,895,809.34</w:t>
      </w:r>
    </w:p>
    <w:p>
      <w:pPr>
        <w:pStyle w:val="null3"/>
      </w:pPr>
      <w:r>
        <w:rPr>
          <w:rFonts w:ascii="仿宋_GB2312" w:hAnsi="仿宋_GB2312" w:cs="仿宋_GB2312" w:eastAsia="仿宋_GB2312"/>
        </w:rPr>
        <w:t>采购包最高限价（元）: 3,895,809.34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安村镇联村集体经济设施蔬菜第三产业园(二期)项目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3,895,809.34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标的名称：安村镇联村集体经济设施蔬菜第三产业园(二期)项目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安村镇联村集体经济设施蔬菜第三产业园</w:t>
            </w:r>
            <w:r>
              <w:rPr>
                <w:rFonts w:ascii="仿宋_GB2312" w:hAnsi="仿宋_GB2312" w:cs="仿宋_GB2312" w:eastAsia="仿宋_GB2312"/>
                <w:sz w:val="24"/>
              </w:rPr>
              <w:t>(二期)</w:t>
            </w:r>
            <w:r>
              <w:rPr>
                <w:rFonts w:ascii="仿宋_GB2312" w:hAnsi="仿宋_GB2312" w:cs="仿宋_GB2312" w:eastAsia="仿宋_GB2312"/>
                <w:sz w:val="24"/>
              </w:rPr>
              <w:t>项目建设地点位于蓝田县安村镇龙村。规划范围内现状土地以设施农用地和旱地为主，无建筑物，以构筑物为主。</w:t>
            </w:r>
            <w:r>
              <w:rPr>
                <w:rFonts w:ascii="仿宋_GB2312" w:hAnsi="仿宋_GB2312" w:cs="仿宋_GB2312" w:eastAsia="仿宋_GB2312"/>
                <w:sz w:val="24"/>
              </w:rPr>
              <w:t>主要建设内容：园内建连栋拱棚共计</w:t>
            </w:r>
            <w:r>
              <w:rPr>
                <w:rFonts w:ascii="仿宋_GB2312" w:hAnsi="仿宋_GB2312" w:cs="仿宋_GB2312" w:eastAsia="仿宋_GB2312"/>
                <w:sz w:val="24"/>
              </w:rPr>
              <w:t>16座，总面积30344.00平方米。基地规划生产路宽4.5米,占地1909.17平方米。新建1个井房、400m机井；阀门井一座,DN110闸阀。</w:t>
            </w:r>
          </w:p>
          <w:p>
            <w:pPr>
              <w:pStyle w:val="null3"/>
              <w:spacing w:before="315"/>
              <w:ind w:left="420"/>
              <w:jc w:val="both"/>
            </w:pPr>
            <w:r>
              <w:rPr>
                <w:rFonts w:ascii="仿宋_GB2312" w:hAnsi="仿宋_GB2312" w:cs="仿宋_GB2312" w:eastAsia="仿宋_GB2312"/>
                <w:sz w:val="24"/>
                <w:b/>
              </w:rPr>
              <w:t>二、施工地点、计划工期、缺陷责任期、质量保修期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工程地点：安村镇</w:t>
            </w:r>
            <w:r>
              <w:rPr>
                <w:rFonts w:ascii="仿宋_GB2312" w:hAnsi="仿宋_GB2312" w:cs="仿宋_GB2312" w:eastAsia="仿宋_GB2312"/>
                <w:sz w:val="24"/>
              </w:rPr>
              <w:t>龙</w:t>
            </w:r>
            <w:r>
              <w:rPr>
                <w:rFonts w:ascii="仿宋_GB2312" w:hAnsi="仿宋_GB2312" w:cs="仿宋_GB2312" w:eastAsia="仿宋_GB2312"/>
                <w:sz w:val="24"/>
              </w:rPr>
              <w:t>村。</w:t>
            </w:r>
          </w:p>
          <w:p>
            <w:pPr>
              <w:pStyle w:val="null3"/>
              <w:ind w:firstLine="480"/>
              <w:jc w:val="both"/>
            </w:pPr>
            <w:r>
              <w:rPr>
                <w:rFonts w:ascii="仿宋_GB2312" w:hAnsi="仿宋_GB2312" w:cs="仿宋_GB2312" w:eastAsia="仿宋_GB2312"/>
                <w:sz w:val="24"/>
              </w:rPr>
              <w:t>2、工期：自</w:t>
            </w:r>
            <w:r>
              <w:rPr>
                <w:rFonts w:ascii="仿宋_GB2312" w:hAnsi="仿宋_GB2312" w:cs="仿宋_GB2312" w:eastAsia="仿宋_GB2312"/>
                <w:sz w:val="24"/>
              </w:rPr>
              <w:t>合同签订</w:t>
            </w:r>
            <w:r>
              <w:rPr>
                <w:rFonts w:ascii="仿宋_GB2312" w:hAnsi="仿宋_GB2312" w:cs="仿宋_GB2312" w:eastAsia="仿宋_GB2312"/>
                <w:sz w:val="24"/>
              </w:rPr>
              <w:t>之日起</w:t>
            </w:r>
            <w:r>
              <w:rPr>
                <w:rFonts w:ascii="仿宋_GB2312" w:hAnsi="仿宋_GB2312" w:cs="仿宋_GB2312" w:eastAsia="仿宋_GB2312"/>
                <w:sz w:val="24"/>
              </w:rPr>
              <w:t>三个月内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质量保修期</w:t>
            </w:r>
            <w:r>
              <w:rPr>
                <w:rFonts w:ascii="仿宋_GB2312" w:hAnsi="仿宋_GB2312" w:cs="仿宋_GB2312" w:eastAsia="仿宋_GB2312"/>
                <w:sz w:val="24"/>
              </w:rPr>
              <w:t>：</w:t>
            </w:r>
            <w:r>
              <w:rPr>
                <w:rFonts w:ascii="仿宋_GB2312" w:hAnsi="仿宋_GB2312" w:cs="仿宋_GB2312" w:eastAsia="仿宋_GB2312"/>
                <w:sz w:val="24"/>
              </w:rPr>
              <w:t>自本项目竣工验收合格之日起一年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4、缺陷责任期：</w:t>
            </w:r>
            <w:r>
              <w:rPr>
                <w:rFonts w:ascii="仿宋_GB2312" w:hAnsi="仿宋_GB2312" w:cs="仿宋_GB2312" w:eastAsia="仿宋_GB2312"/>
                <w:sz w:val="24"/>
              </w:rPr>
              <w:t>自本项目竣工验收合格之日起一年。</w:t>
            </w:r>
          </w:p>
          <w:p>
            <w:pPr>
              <w:pStyle w:val="null3"/>
              <w:spacing w:before="315"/>
              <w:ind w:left="420"/>
              <w:jc w:val="both"/>
            </w:pPr>
            <w:r>
              <w:rPr>
                <w:rFonts w:ascii="仿宋_GB2312" w:hAnsi="仿宋_GB2312" w:cs="仿宋_GB2312" w:eastAsia="仿宋_GB2312"/>
                <w:sz w:val="24"/>
                <w:b/>
              </w:rPr>
              <w:t>三、工程量清单和计价依据</w:t>
            </w:r>
          </w:p>
          <w:p>
            <w:pPr>
              <w:pStyle w:val="null3"/>
              <w:ind w:firstLine="480"/>
              <w:jc w:val="both"/>
            </w:pPr>
            <w:r>
              <w:rPr>
                <w:rFonts w:ascii="仿宋_GB2312" w:hAnsi="仿宋_GB2312" w:cs="仿宋_GB2312" w:eastAsia="仿宋_GB2312"/>
                <w:sz w:val="24"/>
              </w:rPr>
              <w:t>1、计价依据：</w:t>
            </w:r>
            <w:r>
              <w:rPr>
                <w:rFonts w:ascii="仿宋_GB2312" w:hAnsi="仿宋_GB2312" w:cs="仿宋_GB2312" w:eastAsia="仿宋_GB2312"/>
                <w:sz w:val="24"/>
              </w:rPr>
              <w:t>见附件</w:t>
            </w:r>
          </w:p>
          <w:p>
            <w:pPr>
              <w:pStyle w:val="null3"/>
              <w:ind w:firstLine="480"/>
              <w:jc w:val="both"/>
            </w:pPr>
            <w:r>
              <w:rPr>
                <w:rFonts w:ascii="仿宋_GB2312" w:hAnsi="仿宋_GB2312" w:cs="仿宋_GB2312" w:eastAsia="仿宋_GB2312"/>
                <w:sz w:val="24"/>
              </w:rPr>
              <w:t>2、工程量清单：</w:t>
            </w:r>
            <w:r>
              <w:rPr>
                <w:rFonts w:ascii="仿宋_GB2312" w:hAnsi="仿宋_GB2312" w:cs="仿宋_GB2312" w:eastAsia="仿宋_GB2312"/>
                <w:sz w:val="24"/>
              </w:rPr>
              <w:t>见附件</w:t>
            </w:r>
          </w:p>
          <w:p>
            <w:pPr>
              <w:pStyle w:val="null3"/>
              <w:spacing w:before="315"/>
              <w:ind w:left="420"/>
              <w:jc w:val="both"/>
            </w:pPr>
            <w:r>
              <w:rPr>
                <w:rFonts w:ascii="仿宋_GB2312" w:hAnsi="仿宋_GB2312" w:cs="仿宋_GB2312" w:eastAsia="仿宋_GB2312"/>
                <w:sz w:val="24"/>
                <w:b/>
              </w:rPr>
              <w:t>四、施工要求</w:t>
            </w:r>
          </w:p>
          <w:p>
            <w:pPr>
              <w:pStyle w:val="null3"/>
              <w:ind w:firstLine="480"/>
              <w:jc w:val="both"/>
            </w:pPr>
            <w:r>
              <w:rPr>
                <w:rFonts w:ascii="仿宋_GB2312" w:hAnsi="仿宋_GB2312" w:cs="仿宋_GB2312" w:eastAsia="仿宋_GB2312"/>
                <w:sz w:val="24"/>
              </w:rPr>
              <w:t>在施工期间，必须注意人员安全，加强安全措施，并对施工人员进行安全教育。施工人员必须持证上岗</w:t>
            </w:r>
            <w:r>
              <w:rPr>
                <w:rFonts w:ascii="仿宋_GB2312" w:hAnsi="仿宋_GB2312" w:cs="仿宋_GB2312" w:eastAsia="仿宋_GB2312"/>
                <w:sz w:val="24"/>
              </w:rPr>
              <w:t>，</w:t>
            </w:r>
            <w:r>
              <w:rPr>
                <w:rFonts w:ascii="仿宋_GB2312" w:hAnsi="仿宋_GB2312" w:cs="仿宋_GB2312" w:eastAsia="仿宋_GB2312"/>
                <w:sz w:val="24"/>
              </w:rPr>
              <w:t>要求在施工中做到封闭性施工。</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1、款项结算： 合同签订后，采购人10个工作日内支付合同价的30%作为工程预付款，施工进度款按工程实际进度按月支付，累计支付至合同价的80%后暂停支付；竣工验收合格后成交供应商报送结算资料，结算资料经审定后15个工作日内支付至审定总价款的97%；质保期结束后支付剩余3%。 2、违约责任 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 采购人违约的，应当赔偿给成交供应商造成的经济损失。合同执行中发生争议的，当事人双方应协商解决，协商达不成一致时，可向西安仲裁委员会提请仲裁。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（1）提供合格有效的法人或者其他组织的营业执照等证明文件；供应商是法人或其他组织的应提供营业执照等证明文件，供应商是自然人的应提供有效的自然人身份证明； （2）税收缴纳证明：供应商需提供开标截至日期前6个月内任意一个月的完税凭证或税务机关开具的完税证明任意税种；依法免税的应提供相关文件证明； （3）社会保障资金缴纳证明：供应商需提供开标截止日期前6个月内任意一个月的社会保障资金缴存单据或社保机构开具的社会保险参保缴费情况证明；依法不需要缴纳社会保障资金的应提供相关文件证明； （4）参加政府采购活动前三年内在经营活动中没有重大违纪的书面声明（须加盖单位红色公章）； （5）提供供应商具备履行合同所必需的设备和专业技术能力的证明；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财务状况报告：提供2024年度经审计的财务报告（成立时间至开标时间不足一年的可提供成立后任意时段的资产负债表和利润表）或开标前六个月内其基本账户银行出具的资信证明；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具备建设行政主管部门核发的建筑工程施工总承包三级（含三级）以上资质，且具备合格有效的安全生产许可证；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拟派项目经理具有建筑工程专业二级及以上注册建造师证书和有效的安全生产考核证书（B证），在本单位注册且无在建工程（提供无在建工程承诺书）；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资格证明文件.docx 其他相关资料.docx 强制优先采购产品承诺函 响应文件封面 技术响应方案.docx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项目组人员配备安排科学、合理，由磋商小组横向比较自主赋分，计[0-5分]； （注：提供配备人员身份证、学历证、专业技术资格证或职称证等证明材料的复印件并加盖单位公章）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1.项目经理具有类似项目业绩1个计0.5分，最多得1分； 赋分依据：提供合同复印件或中标通知书复印件（复印件至少含合同首页，反映项目经理姓名关键页，双方签字盖章页），需加盖供应商公章。 2.具有相关专业中级职称得1分，高级职称得2分。（注：以加盖公章的职称证复印件为准。）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2022年1月1日至今，供应商具有同类业绩，一份同类业绩得3分，本项最高9分。 赋分依据：加盖供应商公章的合同复印件或中标通知书复印件（时间以合同签订时间或中标通知书时间为准）。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