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342F1">
      <w:pPr>
        <w:jc w:val="center"/>
        <w:rPr>
          <w:rFonts w:hint="eastAsia" w:ascii="宋体" w:hAnsi="宋体" w:cs="宋体"/>
          <w:b/>
          <w:bCs/>
          <w:kern w:val="28"/>
          <w:sz w:val="32"/>
          <w:szCs w:val="32"/>
          <w:lang w:val="en-US" w:eastAsia="zh-CN"/>
        </w:rPr>
      </w:pPr>
      <w:r>
        <w:rPr>
          <w:rFonts w:hint="eastAsia" w:ascii="宋体" w:hAnsi="宋体" w:cs="宋体"/>
          <w:b/>
          <w:bCs/>
          <w:kern w:val="28"/>
          <w:sz w:val="32"/>
          <w:szCs w:val="32"/>
          <w:lang w:val="en-US" w:eastAsia="zh-CN"/>
        </w:rPr>
        <w:t>安村镇联村集体经济设施蔬菜第三产业园(二期)项目</w:t>
      </w:r>
    </w:p>
    <w:p w14:paraId="40B161FE">
      <w:pPr>
        <w:jc w:val="center"/>
        <w:rPr>
          <w:rFonts w:hint="eastAsia" w:ascii="宋体" w:hAnsi="宋体" w:eastAsia="宋体" w:cs="宋体"/>
          <w:b/>
          <w:bCs/>
          <w:kern w:val="28"/>
          <w:sz w:val="32"/>
          <w:szCs w:val="32"/>
        </w:rPr>
      </w:pPr>
      <w:r>
        <w:rPr>
          <w:rFonts w:hint="eastAsia" w:ascii="宋体" w:hAnsi="宋体" w:cs="宋体"/>
          <w:b/>
          <w:bCs/>
          <w:kern w:val="28"/>
          <w:sz w:val="32"/>
          <w:szCs w:val="32"/>
          <w:lang w:val="en-US" w:eastAsia="zh-CN"/>
        </w:rPr>
        <w:t>限价</w:t>
      </w:r>
      <w:r>
        <w:rPr>
          <w:rFonts w:hint="eastAsia" w:ascii="宋体" w:hAnsi="宋体" w:eastAsia="宋体" w:cs="宋体"/>
          <w:b/>
          <w:bCs/>
          <w:kern w:val="28"/>
          <w:sz w:val="32"/>
          <w:szCs w:val="32"/>
        </w:rPr>
        <w:t>编制说明</w:t>
      </w:r>
    </w:p>
    <w:p w14:paraId="786CC867">
      <w:pPr>
        <w:keepNext w:val="0"/>
        <w:keepLines w:val="0"/>
        <w:pageBreakBefore w:val="0"/>
        <w:kinsoku/>
        <w:wordWrap/>
        <w:overflowPunct/>
        <w:topLinePunct w:val="0"/>
        <w:autoSpaceDE/>
        <w:autoSpaceDN/>
        <w:bidi w:val="0"/>
        <w:adjustRightInd/>
        <w:snapToGrid/>
        <w:spacing w:before="156" w:beforeLines="50" w:after="156" w:afterLines="50" w:line="360" w:lineRule="auto"/>
        <w:ind w:right="-153" w:rightChars="-73" w:firstLine="551" w:firstLineChars="196"/>
        <w:textAlignment w:val="auto"/>
        <w:rPr>
          <w:rFonts w:hint="eastAsia" w:ascii="宋体" w:hAnsi="宋体" w:eastAsia="宋体" w:cs="宋体"/>
          <w:b/>
          <w:color w:val="000000"/>
          <w:sz w:val="28"/>
          <w:szCs w:val="28"/>
          <w:lang w:eastAsia="zh-CN"/>
        </w:rPr>
      </w:pPr>
      <w:r>
        <w:rPr>
          <w:rFonts w:hint="eastAsia" w:ascii="宋体" w:hAnsi="宋体" w:eastAsia="宋体" w:cs="宋体"/>
          <w:b/>
          <w:color w:val="000000"/>
          <w:sz w:val="28"/>
          <w:szCs w:val="28"/>
        </w:rPr>
        <w:t>一、工程概况</w:t>
      </w:r>
      <w:r>
        <w:rPr>
          <w:rFonts w:hint="eastAsia" w:ascii="宋体" w:hAnsi="宋体" w:eastAsia="宋体" w:cs="宋体"/>
          <w:b/>
          <w:color w:val="000000"/>
          <w:sz w:val="28"/>
          <w:szCs w:val="28"/>
          <w:lang w:eastAsia="zh-CN"/>
        </w:rPr>
        <w:t>：</w:t>
      </w:r>
    </w:p>
    <w:p w14:paraId="7772B50B">
      <w:pPr>
        <w:keepNext w:val="0"/>
        <w:keepLines w:val="0"/>
        <w:pageBreakBefore w:val="0"/>
        <w:kinsoku/>
        <w:wordWrap/>
        <w:overflowPunct/>
        <w:topLinePunct w:val="0"/>
        <w:autoSpaceDE/>
        <w:autoSpaceDN/>
        <w:bidi w:val="0"/>
        <w:adjustRightInd/>
        <w:snapToGrid/>
        <w:spacing w:before="156" w:beforeLines="50" w:after="156" w:afterLines="50"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本工程位于</w:t>
      </w:r>
      <w:r>
        <w:rPr>
          <w:rFonts w:hint="eastAsia" w:ascii="宋体" w:hAnsi="宋体" w:eastAsia="宋体" w:cs="宋体"/>
          <w:sz w:val="28"/>
          <w:szCs w:val="28"/>
          <w:highlight w:val="none"/>
          <w:lang w:val="en-US" w:eastAsia="zh-CN"/>
        </w:rPr>
        <w:t>陕西省西安市</w:t>
      </w:r>
      <w:r>
        <w:rPr>
          <w:rFonts w:hint="eastAsia" w:ascii="宋体" w:hAnsi="宋体" w:cs="宋体"/>
          <w:sz w:val="28"/>
          <w:szCs w:val="28"/>
          <w:highlight w:val="none"/>
          <w:lang w:val="en-US" w:eastAsia="zh-CN"/>
        </w:rPr>
        <w:t>蓝田县安村镇龙村</w:t>
      </w:r>
      <w:r>
        <w:rPr>
          <w:rFonts w:hint="eastAsia" w:ascii="宋体" w:hAnsi="宋体" w:eastAsia="宋体" w:cs="宋体"/>
          <w:sz w:val="28"/>
          <w:szCs w:val="28"/>
          <w:highlight w:val="none"/>
          <w:lang w:val="en-US" w:eastAsia="zh-CN"/>
        </w:rPr>
        <w:t>。</w:t>
      </w:r>
    </w:p>
    <w:p w14:paraId="171B0A97">
      <w:pPr>
        <w:keepNext w:val="0"/>
        <w:keepLines w:val="0"/>
        <w:pageBreakBefore w:val="0"/>
        <w:kinsoku/>
        <w:wordWrap/>
        <w:overflowPunct/>
        <w:topLinePunct w:val="0"/>
        <w:autoSpaceDE/>
        <w:autoSpaceDN/>
        <w:bidi w:val="0"/>
        <w:adjustRightInd/>
        <w:snapToGrid/>
        <w:spacing w:before="156" w:beforeLines="50" w:after="156" w:afterLines="50" w:line="360" w:lineRule="auto"/>
        <w:ind w:right="-153" w:rightChars="-73" w:firstLine="551" w:firstLineChars="196"/>
        <w:textAlignment w:val="auto"/>
        <w:rPr>
          <w:rFonts w:hint="eastAsia" w:ascii="宋体" w:hAnsi="宋体" w:eastAsia="宋体" w:cs="宋体"/>
          <w:b/>
          <w:color w:val="000000"/>
          <w:sz w:val="28"/>
          <w:szCs w:val="28"/>
          <w:lang w:eastAsia="zh-CN"/>
        </w:rPr>
      </w:pPr>
      <w:r>
        <w:rPr>
          <w:rFonts w:hint="eastAsia" w:ascii="宋体" w:hAnsi="宋体" w:eastAsia="宋体" w:cs="宋体"/>
          <w:b/>
          <w:color w:val="000000"/>
          <w:sz w:val="28"/>
          <w:szCs w:val="28"/>
        </w:rPr>
        <w:t>二、编制范围</w:t>
      </w:r>
      <w:r>
        <w:rPr>
          <w:rFonts w:hint="eastAsia" w:ascii="宋体" w:hAnsi="宋体" w:eastAsia="宋体" w:cs="宋体"/>
          <w:b/>
          <w:color w:val="000000"/>
          <w:sz w:val="28"/>
          <w:szCs w:val="28"/>
          <w:lang w:eastAsia="zh-CN"/>
        </w:rPr>
        <w:t>：</w:t>
      </w:r>
    </w:p>
    <w:p w14:paraId="0A57AF14">
      <w:pPr>
        <w:keepNext w:val="0"/>
        <w:keepLines w:val="0"/>
        <w:pageBreakBefore w:val="0"/>
        <w:kinsoku/>
        <w:wordWrap/>
        <w:overflowPunct/>
        <w:topLinePunct w:val="0"/>
        <w:autoSpaceDE/>
        <w:autoSpaceDN/>
        <w:bidi w:val="0"/>
        <w:adjustRightInd/>
        <w:snapToGrid/>
        <w:spacing w:before="156" w:beforeLines="50" w:after="156" w:afterLines="50" w:line="360" w:lineRule="auto"/>
        <w:ind w:right="-153" w:rightChars="-73"/>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rPr>
        <w:t xml:space="preserve">   </w:t>
      </w:r>
      <w:r>
        <w:rPr>
          <w:rFonts w:hint="eastAsia" w:ascii="宋体" w:hAnsi="宋体" w:eastAsia="宋体" w:cs="宋体"/>
          <w:sz w:val="28"/>
          <w:szCs w:val="28"/>
        </w:rPr>
        <w:t xml:space="preserve"> 依据建设单位要求，</w:t>
      </w:r>
      <w:r>
        <w:rPr>
          <w:rFonts w:hint="eastAsia" w:ascii="宋体" w:hAnsi="宋体" w:eastAsia="宋体" w:cs="宋体"/>
          <w:sz w:val="28"/>
          <w:szCs w:val="28"/>
          <w:highlight w:val="none"/>
          <w:lang w:val="en-US" w:eastAsia="zh-CN"/>
        </w:rPr>
        <w:t>本次批复文件及图纸范围内的所有内容</w:t>
      </w:r>
      <w:r>
        <w:rPr>
          <w:rFonts w:hint="eastAsia" w:ascii="宋体" w:hAnsi="宋体" w:eastAsia="宋体" w:cs="宋体"/>
          <w:sz w:val="28"/>
          <w:szCs w:val="28"/>
          <w:highlight w:val="none"/>
        </w:rPr>
        <w:t>。</w:t>
      </w:r>
    </w:p>
    <w:p w14:paraId="1C8E6B97">
      <w:pPr>
        <w:keepNext w:val="0"/>
        <w:keepLines w:val="0"/>
        <w:pageBreakBefore w:val="0"/>
        <w:numPr>
          <w:ilvl w:val="0"/>
          <w:numId w:val="1"/>
        </w:numPr>
        <w:tabs>
          <w:tab w:val="left" w:pos="600"/>
        </w:tabs>
        <w:kinsoku/>
        <w:wordWrap/>
        <w:overflowPunct/>
        <w:topLinePunct w:val="0"/>
        <w:autoSpaceDE/>
        <w:autoSpaceDN/>
        <w:bidi w:val="0"/>
        <w:adjustRightInd/>
        <w:snapToGrid/>
        <w:spacing w:before="156" w:beforeLines="50" w:after="156" w:afterLines="50" w:line="360" w:lineRule="auto"/>
        <w:ind w:firstLine="551" w:firstLineChars="196"/>
        <w:textAlignment w:val="auto"/>
        <w:rPr>
          <w:rFonts w:hint="eastAsia" w:ascii="宋体" w:hAnsi="宋体" w:eastAsia="宋体" w:cs="宋体"/>
          <w:sz w:val="28"/>
          <w:szCs w:val="28"/>
          <w:lang w:eastAsia="zh-CN"/>
        </w:rPr>
      </w:pPr>
      <w:r>
        <w:rPr>
          <w:rFonts w:hint="eastAsia" w:ascii="宋体" w:hAnsi="宋体" w:eastAsia="宋体" w:cs="宋体"/>
          <w:b/>
          <w:color w:val="000000"/>
          <w:sz w:val="28"/>
          <w:szCs w:val="28"/>
        </w:rPr>
        <w:t>编制依据</w:t>
      </w:r>
      <w:r>
        <w:rPr>
          <w:rFonts w:hint="eastAsia" w:ascii="宋体" w:hAnsi="宋体" w:eastAsia="宋体" w:cs="宋体"/>
          <w:b/>
          <w:color w:val="000000"/>
          <w:sz w:val="28"/>
          <w:szCs w:val="28"/>
          <w:lang w:eastAsia="zh-CN"/>
        </w:rPr>
        <w:t>：</w:t>
      </w:r>
    </w:p>
    <w:p w14:paraId="4CC6A7A0">
      <w:pPr>
        <w:keepNext w:val="0"/>
        <w:keepLines w:val="0"/>
        <w:pageBreakBefore w:val="0"/>
        <w:kinsoku/>
        <w:wordWrap/>
        <w:overflowPunct/>
        <w:topLinePunct w:val="0"/>
        <w:autoSpaceDE/>
        <w:autoSpaceDN/>
        <w:bidi w:val="0"/>
        <w:adjustRightInd/>
        <w:snapToGrid/>
        <w:spacing w:before="156" w:beforeLines="50" w:after="157" w:afterLines="50"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陕西省建筑、装饰工程消耗量定额》（2004），《陕西省安装工程消耗量定额》（2004），《陕西省建设工程消耗量定额补充定额》（2004），与定额相配套使用的《陕西省建筑装饰市政园林绿化工程价目表》（2009），《陕西省安装工程价目表》（2009），《陕西省建设工程工程量清单计价费率》（2009）及其他相关的计价依据和办法</w:t>
      </w:r>
      <w:r>
        <w:rPr>
          <w:rFonts w:hint="eastAsia" w:ascii="宋体" w:hAnsi="宋体" w:eastAsia="宋体" w:cs="宋体"/>
          <w:sz w:val="28"/>
          <w:szCs w:val="28"/>
          <w:lang w:eastAsia="zh-CN"/>
        </w:rPr>
        <w:t>；</w:t>
      </w:r>
    </w:p>
    <w:p w14:paraId="4354F3C7">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2.人工费按陕建发【2021】1097号文《关于调整房屋建筑和市政基础设施工程工程量清单计价综合人工单价的通知》</w:t>
      </w:r>
      <w:r>
        <w:rPr>
          <w:rFonts w:hint="eastAsia" w:ascii="宋体" w:hAnsi="宋体" w:eastAsia="宋体" w:cs="宋体"/>
          <w:sz w:val="28"/>
          <w:szCs w:val="28"/>
        </w:rPr>
        <w:t>；《关于调整陕西省建设工程计价依据的通知》陕建发【201</w:t>
      </w:r>
      <w:r>
        <w:rPr>
          <w:rFonts w:hint="eastAsia" w:ascii="宋体" w:hAnsi="宋体" w:eastAsia="宋体" w:cs="宋体"/>
          <w:sz w:val="28"/>
          <w:szCs w:val="28"/>
          <w:lang w:val="en-US" w:eastAsia="zh-CN"/>
        </w:rPr>
        <w:t>9</w:t>
      </w:r>
      <w:r>
        <w:rPr>
          <w:rFonts w:hint="eastAsia" w:ascii="宋体" w:hAnsi="宋体" w:eastAsia="宋体" w:cs="宋体"/>
          <w:sz w:val="28"/>
          <w:szCs w:val="28"/>
        </w:rPr>
        <w:t>】</w:t>
      </w:r>
      <w:r>
        <w:rPr>
          <w:rFonts w:hint="eastAsia" w:ascii="宋体" w:hAnsi="宋体" w:eastAsia="宋体" w:cs="宋体"/>
          <w:sz w:val="28"/>
          <w:szCs w:val="28"/>
          <w:lang w:val="en-US" w:eastAsia="zh-CN"/>
        </w:rPr>
        <w:t>45</w:t>
      </w:r>
      <w:r>
        <w:rPr>
          <w:rFonts w:hint="eastAsia" w:ascii="宋体" w:hAnsi="宋体" w:eastAsia="宋体" w:cs="宋体"/>
          <w:sz w:val="28"/>
          <w:szCs w:val="28"/>
        </w:rPr>
        <w:t>号；</w:t>
      </w:r>
      <w:r>
        <w:rPr>
          <w:rFonts w:hint="eastAsia" w:ascii="宋体" w:hAnsi="宋体" w:eastAsia="宋体" w:cs="宋体"/>
          <w:color w:val="auto"/>
          <w:sz w:val="28"/>
          <w:szCs w:val="28"/>
        </w:rPr>
        <w:t>陕建发【2017】270号文件，《关于增加建设工程扬尘治理专项措施费及综合人工单价调整的通知》；</w:t>
      </w:r>
    </w:p>
    <w:p w14:paraId="6478EC1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360" w:lineRule="auto"/>
        <w:ind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3.陕建发【2020】1097号文《关于建筑施工安全生产责任保险费用计价的通知》；陕建发【2021】1021号文《关于全省统一停止收缴建筑业劳保费用的通知》；</w:t>
      </w:r>
    </w:p>
    <w:p w14:paraId="4B36727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7" w:afterLines="50" w:afterAutospacing="0" w:line="360" w:lineRule="auto"/>
        <w:ind w:right="0" w:righ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r>
        <w:rPr>
          <w:rFonts w:hint="eastAsia" w:ascii="宋体" w:hAnsi="宋体" w:cs="宋体"/>
          <w:sz w:val="28"/>
          <w:szCs w:val="28"/>
          <w:lang w:val="en-US" w:eastAsia="zh-CN"/>
        </w:rPr>
        <w:t>批复文件、图纸</w:t>
      </w:r>
      <w:r>
        <w:rPr>
          <w:rFonts w:hint="eastAsia" w:ascii="宋体" w:hAnsi="宋体" w:eastAsia="宋体" w:cs="宋体"/>
          <w:sz w:val="28"/>
          <w:szCs w:val="28"/>
          <w:lang w:val="en-US" w:eastAsia="zh-CN"/>
        </w:rPr>
        <w:t>及</w:t>
      </w:r>
      <w:r>
        <w:rPr>
          <w:rFonts w:hint="eastAsia" w:ascii="宋体" w:hAnsi="宋体" w:eastAsia="宋体" w:cs="宋体"/>
          <w:sz w:val="28"/>
          <w:szCs w:val="28"/>
        </w:rPr>
        <w:t>与建设工程项目有关的规范、图集、技术资料</w:t>
      </w:r>
      <w:r>
        <w:rPr>
          <w:rFonts w:hint="eastAsia" w:ascii="宋体" w:hAnsi="宋体" w:eastAsia="宋体" w:cs="宋体"/>
          <w:sz w:val="28"/>
          <w:szCs w:val="28"/>
          <w:lang w:eastAsia="zh-CN"/>
        </w:rPr>
        <w:t>；</w:t>
      </w:r>
    </w:p>
    <w:p w14:paraId="789F82AF">
      <w:pPr>
        <w:keepNext w:val="0"/>
        <w:keepLines w:val="0"/>
        <w:pageBreakBefore w:val="0"/>
        <w:kinsoku/>
        <w:wordWrap/>
        <w:overflowPunct/>
        <w:topLinePunct w:val="0"/>
        <w:autoSpaceDE/>
        <w:autoSpaceDN/>
        <w:bidi w:val="0"/>
        <w:adjustRightInd/>
        <w:snapToGrid/>
        <w:spacing w:before="156" w:beforeLines="50" w:after="157" w:afterLines="50"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5.主要材料价格优先采用</w:t>
      </w:r>
      <w:r>
        <w:rPr>
          <w:rFonts w:hint="eastAsia" w:ascii="宋体" w:hAnsi="宋体" w:cs="宋体"/>
          <w:sz w:val="28"/>
          <w:szCs w:val="28"/>
          <w:lang w:val="en-US" w:eastAsia="zh-CN"/>
        </w:rPr>
        <w:t>蓝田</w:t>
      </w:r>
      <w:r>
        <w:rPr>
          <w:rFonts w:hint="eastAsia" w:ascii="宋体" w:hAnsi="宋体" w:eastAsia="宋体" w:cs="宋体"/>
          <w:sz w:val="28"/>
          <w:szCs w:val="28"/>
          <w:lang w:val="en-US" w:eastAsia="zh-CN"/>
        </w:rPr>
        <w:t>信息价202</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年</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月，信息价没有的采用市场价；</w:t>
      </w:r>
      <w:r>
        <w:rPr>
          <w:rFonts w:hint="eastAsia" w:ascii="宋体" w:hAnsi="宋体" w:eastAsia="宋体" w:cs="宋体"/>
          <w:sz w:val="28"/>
          <w:szCs w:val="28"/>
          <w:lang w:eastAsia="zh-CN"/>
        </w:rPr>
        <w:t>；</w:t>
      </w:r>
    </w:p>
    <w:p w14:paraId="1853B235">
      <w:pPr>
        <w:keepNext w:val="0"/>
        <w:keepLines w:val="0"/>
        <w:pageBreakBefore w:val="0"/>
        <w:kinsoku/>
        <w:wordWrap/>
        <w:overflowPunct/>
        <w:topLinePunct w:val="0"/>
        <w:autoSpaceDE/>
        <w:autoSpaceDN/>
        <w:bidi w:val="0"/>
        <w:adjustRightInd/>
        <w:snapToGrid/>
        <w:spacing w:before="156" w:beforeLines="50" w:after="157" w:afterLines="50"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color w:val="000000"/>
          <w:sz w:val="28"/>
          <w:szCs w:val="28"/>
          <w:lang w:val="en-US" w:eastAsia="zh-CN"/>
        </w:rPr>
        <w:t>6.</w:t>
      </w:r>
      <w:r>
        <w:rPr>
          <w:rFonts w:hint="eastAsia" w:ascii="宋体" w:hAnsi="宋体" w:eastAsia="宋体" w:cs="宋体"/>
          <w:color w:val="000000"/>
          <w:sz w:val="28"/>
          <w:szCs w:val="28"/>
        </w:rPr>
        <w:t>施工现场情况、工程特点及常规施工方案</w:t>
      </w:r>
      <w:r>
        <w:rPr>
          <w:rFonts w:hint="eastAsia" w:ascii="宋体" w:hAnsi="宋体" w:eastAsia="宋体" w:cs="宋体"/>
          <w:color w:val="000000"/>
          <w:sz w:val="28"/>
          <w:szCs w:val="28"/>
          <w:lang w:eastAsia="zh-CN"/>
        </w:rPr>
        <w:t>；</w:t>
      </w:r>
    </w:p>
    <w:p w14:paraId="3BBBE0DC">
      <w:pPr>
        <w:keepNext w:val="0"/>
        <w:keepLines w:val="0"/>
        <w:pageBreakBefore w:val="0"/>
        <w:kinsoku/>
        <w:wordWrap/>
        <w:overflowPunct/>
        <w:topLinePunct w:val="0"/>
        <w:autoSpaceDE/>
        <w:autoSpaceDN/>
        <w:bidi w:val="0"/>
        <w:adjustRightInd/>
        <w:snapToGrid/>
        <w:spacing w:before="156" w:beforeLines="50" w:after="157" w:afterLines="50"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r>
        <w:rPr>
          <w:rFonts w:hint="eastAsia" w:ascii="宋体" w:hAnsi="宋体" w:eastAsia="宋体" w:cs="宋体"/>
          <w:sz w:val="28"/>
          <w:szCs w:val="28"/>
        </w:rPr>
        <w:t>其他相关资料</w:t>
      </w:r>
      <w:r>
        <w:rPr>
          <w:rFonts w:hint="eastAsia" w:ascii="宋体" w:hAnsi="宋体" w:cs="宋体"/>
          <w:sz w:val="28"/>
          <w:szCs w:val="28"/>
          <w:lang w:eastAsia="zh-CN"/>
        </w:rPr>
        <w:t>。</w:t>
      </w:r>
    </w:p>
    <w:p w14:paraId="347BCBD8">
      <w:pPr>
        <w:keepNext w:val="0"/>
        <w:keepLines w:val="0"/>
        <w:pageBreakBefore w:val="0"/>
        <w:kinsoku/>
        <w:wordWrap/>
        <w:overflowPunct/>
        <w:topLinePunct w:val="0"/>
        <w:autoSpaceDE/>
        <w:autoSpaceDN/>
        <w:bidi w:val="0"/>
        <w:adjustRightInd/>
        <w:snapToGrid/>
        <w:spacing w:before="156" w:beforeLines="50" w:after="157" w:afterLines="50" w:line="360" w:lineRule="auto"/>
        <w:ind w:firstLine="562" w:firstLineChars="200"/>
        <w:textAlignment w:val="auto"/>
        <w:rPr>
          <w:rFonts w:hint="default" w:ascii="宋体" w:hAnsi="宋体" w:eastAsia="宋体" w:cs="宋体"/>
          <w:b w:val="0"/>
          <w:bCs w:val="0"/>
          <w:sz w:val="28"/>
          <w:szCs w:val="28"/>
          <w:lang w:val="en-US" w:eastAsia="zh-CN"/>
        </w:rPr>
      </w:pPr>
      <w:r>
        <w:rPr>
          <w:rFonts w:hint="eastAsia" w:ascii="宋体" w:hAnsi="宋体" w:eastAsia="宋体" w:cs="宋体"/>
          <w:b/>
          <w:bCs/>
          <w:sz w:val="28"/>
          <w:szCs w:val="28"/>
          <w:lang w:val="en-US" w:eastAsia="zh-CN"/>
        </w:rPr>
        <w:t>四、其他说明</w:t>
      </w:r>
    </w:p>
    <w:p w14:paraId="310E138E">
      <w:pPr>
        <w:pStyle w:val="2"/>
        <w:keepNext w:val="0"/>
        <w:keepLines w:val="0"/>
        <w:widowControl/>
        <w:suppressLineNumbers w:val="0"/>
        <w:spacing w:before="0" w:beforeAutospacing="0" w:after="0" w:afterAutospacing="0"/>
        <w:ind w:right="0" w:firstLine="560" w:firstLineChars="200"/>
        <w:rPr>
          <w:rFonts w:hint="eastAsia" w:ascii="宋体" w:hAnsi="宋体" w:eastAsia="宋体" w:cs="宋体"/>
          <w:color w:val="000000"/>
          <w:sz w:val="28"/>
          <w:szCs w:val="28"/>
          <w:lang w:val="en-US" w:eastAsia="zh-CN"/>
        </w:rPr>
      </w:pPr>
      <w:r>
        <w:rPr>
          <w:rFonts w:hint="eastAsia" w:ascii="宋体" w:hAnsi="宋体" w:cs="宋体"/>
          <w:color w:val="000000"/>
          <w:sz w:val="28"/>
          <w:szCs w:val="28"/>
          <w:lang w:val="en-US" w:eastAsia="zh-CN"/>
        </w:rPr>
        <w:t>1.</w:t>
      </w:r>
      <w:r>
        <w:rPr>
          <w:rFonts w:hint="eastAsia" w:ascii="宋体" w:hAnsi="宋体" w:eastAsia="宋体" w:cs="宋体"/>
          <w:color w:val="000000"/>
          <w:sz w:val="28"/>
          <w:szCs w:val="28"/>
          <w:lang w:val="en-US" w:eastAsia="zh-CN"/>
        </w:rPr>
        <w:t>计价软件广联达云计价平台GCCP6.0中的清单计价模式，软件版本为6.4100.23.122</w:t>
      </w:r>
      <w:r>
        <w:rPr>
          <w:rFonts w:hint="eastAsia" w:ascii="宋体" w:hAnsi="宋体" w:cs="宋体"/>
          <w:color w:val="000000"/>
          <w:sz w:val="28"/>
          <w:szCs w:val="28"/>
          <w:lang w:val="en-US" w:eastAsia="zh-CN"/>
        </w:rPr>
        <w:t>。</w:t>
      </w:r>
    </w:p>
    <w:p w14:paraId="686B2DAB">
      <w:pPr>
        <w:pStyle w:val="2"/>
        <w:keepNext w:val="0"/>
        <w:keepLines w:val="0"/>
        <w:widowControl/>
        <w:suppressLineNumbers w:val="0"/>
        <w:spacing w:before="0" w:beforeAutospacing="0" w:after="0" w:afterAutospacing="0"/>
        <w:ind w:left="0" w:right="0" w:firstLine="560" w:firstLineChars="200"/>
        <w:rPr>
          <w:rFonts w:hint="eastAsia" w:ascii="宋体" w:hAnsi="宋体" w:eastAsia="宋体" w:cs="宋体"/>
          <w:color w:val="000000"/>
          <w:sz w:val="28"/>
          <w:szCs w:val="28"/>
          <w:lang w:val="en-US" w:eastAsia="zh-CN"/>
        </w:rPr>
      </w:pPr>
    </w:p>
    <w:p w14:paraId="4F544948">
      <w:pPr>
        <w:pStyle w:val="2"/>
        <w:keepNext w:val="0"/>
        <w:keepLines w:val="0"/>
        <w:widowControl/>
        <w:suppressLineNumbers w:val="0"/>
        <w:spacing w:before="0" w:beforeAutospacing="0" w:after="0" w:afterAutospacing="0"/>
        <w:ind w:left="0" w:right="0" w:firstLine="560" w:firstLineChars="200"/>
        <w:rPr>
          <w:rFonts w:hint="eastAsia" w:ascii="宋体" w:hAnsi="宋体" w:eastAsia="宋体" w:cs="宋体"/>
          <w:color w:val="000000"/>
          <w:sz w:val="28"/>
          <w:szCs w:val="28"/>
          <w:lang w:val="en-US" w:eastAsia="zh-CN"/>
        </w:rPr>
      </w:pPr>
    </w:p>
    <w:p w14:paraId="6D232BF0">
      <w:pPr>
        <w:pStyle w:val="2"/>
        <w:keepNext w:val="0"/>
        <w:keepLines w:val="0"/>
        <w:widowControl/>
        <w:suppressLineNumbers w:val="0"/>
        <w:spacing w:before="0" w:beforeAutospacing="0" w:after="0" w:afterAutospacing="0"/>
        <w:ind w:right="0"/>
        <w:jc w:val="both"/>
        <w:rPr>
          <w:rFonts w:hint="eastAsia" w:ascii="宋体" w:hAnsi="宋体" w:eastAsia="宋体" w:cs="宋体"/>
          <w:color w:val="000000"/>
          <w:sz w:val="28"/>
          <w:szCs w:val="28"/>
          <w:lang w:val="en-US" w:eastAsia="zh-CN"/>
        </w:rPr>
      </w:pPr>
    </w:p>
    <w:p w14:paraId="68582B8B">
      <w:pPr>
        <w:keepNext w:val="0"/>
        <w:keepLines w:val="0"/>
        <w:pageBreakBefore w:val="0"/>
        <w:kinsoku/>
        <w:wordWrap/>
        <w:overflowPunct/>
        <w:topLinePunct w:val="0"/>
        <w:autoSpaceDE/>
        <w:autoSpaceDN/>
        <w:bidi w:val="0"/>
        <w:adjustRightInd/>
        <w:snapToGrid/>
        <w:spacing w:before="156" w:beforeLines="50" w:after="157" w:afterLines="50" w:line="360" w:lineRule="auto"/>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                                   2025年</w:t>
      </w:r>
      <w:r>
        <w:rPr>
          <w:rFonts w:hint="eastAsia" w:ascii="宋体" w:hAnsi="宋体" w:cs="宋体"/>
          <w:sz w:val="28"/>
          <w:szCs w:val="28"/>
          <w:lang w:val="en-US" w:eastAsia="zh-CN"/>
        </w:rPr>
        <w:t>7</w:t>
      </w:r>
      <w:r>
        <w:rPr>
          <w:rFonts w:hint="eastAsia" w:ascii="宋体" w:hAnsi="宋体" w:eastAsia="宋体" w:cs="宋体"/>
          <w:sz w:val="28"/>
          <w:szCs w:val="28"/>
          <w:lang w:val="en-US" w:eastAsia="zh-CN"/>
        </w:rPr>
        <w:t>月</w:t>
      </w:r>
      <w:r>
        <w:rPr>
          <w:rFonts w:hint="eastAsia" w:ascii="宋体" w:hAnsi="宋体" w:cs="宋体"/>
          <w:sz w:val="28"/>
          <w:szCs w:val="28"/>
          <w:lang w:val="en-US" w:eastAsia="zh-CN"/>
        </w:rPr>
        <w:t>1</w:t>
      </w:r>
      <w:bookmarkStart w:id="0" w:name="_GoBack"/>
      <w:bookmarkEnd w:id="0"/>
      <w:r>
        <w:rPr>
          <w:rFonts w:hint="eastAsia" w:ascii="宋体" w:hAnsi="宋体" w:eastAsia="宋体" w:cs="宋体"/>
          <w:sz w:val="28"/>
          <w:szCs w:val="28"/>
        </w:rPr>
        <w:t>日</w:t>
      </w:r>
    </w:p>
    <w:p w14:paraId="5643A862"/>
    <w:sectPr>
      <w:pgSz w:w="11906" w:h="16838"/>
      <w:pgMar w:top="1440" w:right="1080" w:bottom="1440"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3A89DC"/>
    <w:multiLevelType w:val="singleLevel"/>
    <w:tmpl w:val="643A89D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D1379"/>
    <w:rsid w:val="0E9D35EA"/>
    <w:rsid w:val="10062542"/>
    <w:rsid w:val="26D94FCD"/>
    <w:rsid w:val="305F08DE"/>
    <w:rsid w:val="325307FB"/>
    <w:rsid w:val="365A7F84"/>
    <w:rsid w:val="371B3F12"/>
    <w:rsid w:val="41822646"/>
    <w:rsid w:val="5662212E"/>
    <w:rsid w:val="59A15347"/>
    <w:rsid w:val="5E5B0DBB"/>
    <w:rsid w:val="62EA3C22"/>
    <w:rsid w:val="631A352E"/>
    <w:rsid w:val="69566D0B"/>
    <w:rsid w:val="6A7A44B8"/>
    <w:rsid w:val="72E32CCA"/>
    <w:rsid w:val="7ADB2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564</Words>
  <Characters>642</Characters>
  <Lines>0</Lines>
  <Paragraphs>0</Paragraphs>
  <TotalTime>2</TotalTime>
  <ScaleCrop>false</ScaleCrop>
  <LinksUpToDate>false</LinksUpToDate>
  <CharactersWithSpaces>681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一如既往</cp:lastModifiedBy>
  <dcterms:modified xsi:type="dcterms:W3CDTF">2025-07-01T01:43:23Z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eyJoZGlkIjoiNWQzNDllMmViY2RjODE5ZjRjMmQ5YjMzNzRlZDY1MjciLCJ1c2VySWQiOiI1NzU3Njc2MDcifQ==</vt:lpwstr>
  </property>
  <property fmtid="{D5CDD505-2E9C-101B-9397-08002B2CF9AE}" pid="4" name="ICV">
    <vt:lpwstr>F48B5E789F8C494E93B04BE35B1368EB_12</vt:lpwstr>
  </property>
</Properties>
</file>