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EC10">
      <w:pPr>
        <w:pageBreakBefore w:val="0"/>
        <w:kinsoku/>
        <w:overflowPunct/>
        <w:topLinePunct w:val="0"/>
        <w:bidi w:val="0"/>
        <w:spacing w:line="360" w:lineRule="auto"/>
        <w:ind w:left="320" w:leftChars="1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报价一览表（格式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)</w:t>
      </w:r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32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报价一览表</w:t>
      </w: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40" w:firstLineChars="50"/>
        <w:textAlignment w:val="auto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highlight w:val="none"/>
        </w:rPr>
        <w:t xml:space="preserve">                                                   </w:t>
      </w:r>
    </w:p>
    <w:tbl>
      <w:tblPr>
        <w:tblStyle w:val="3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1877"/>
        <w:gridCol w:w="2025"/>
        <w:gridCol w:w="1802"/>
        <w:gridCol w:w="2463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218" w:rightChars="68" w:firstLine="138" w:firstLineChars="49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（人民币:元）</w:t>
            </w:r>
          </w:p>
        </w:tc>
        <w:tc>
          <w:tcPr>
            <w:tcW w:w="1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交货期</w:t>
            </w:r>
          </w:p>
        </w:tc>
        <w:tc>
          <w:tcPr>
            <w:tcW w:w="20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BE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1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服务质量</w:t>
            </w: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397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FA4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76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  <w:t>注：1、本表价格应按</w:t>
      </w: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  <w:t>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  <w:t>2、此表中任何信息与</w:t>
      </w: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  <w:t>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auto"/>
          <w:sz w:val="28"/>
          <w:szCs w:val="28"/>
          <w:highlight w:val="none"/>
        </w:rPr>
        <w:t>3、报价精确到小数点后两位。</w:t>
      </w:r>
    </w:p>
    <w:p w14:paraId="77716C4B"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（单位公章）                       日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7A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2025-07-11T05:10:09Z</dcterms:created>
  <dc:creator>兰洋</dc:creator>
  <cp:lastModifiedBy>兰洋</cp:lastModifiedBy>
  <dcterms:modified xsi:type="dcterms:W3CDTF">2025-07-11T05:10:16Z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EFB9E6F3D739457C8B9FDAEB96C80C72_12</vt:lpwstr>
  </property>
</Properties>
</file>