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C3EF74">
      <w:pPr>
        <w:pStyle w:val="2"/>
        <w:pageBreakBefore w:val="0"/>
        <w:kinsoku/>
        <w:overflowPunct/>
        <w:topLinePunct w:val="0"/>
        <w:bidi w:val="0"/>
        <w:spacing w:before="20" w:after="20"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4.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服务内容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响应偏离表（格式）</w:t>
      </w:r>
    </w:p>
    <w:p w14:paraId="3A544993">
      <w:pPr>
        <w:pageBreakBefore w:val="0"/>
        <w:kinsoku/>
        <w:overflowPunct/>
        <w:topLinePunct w:val="0"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服务内容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响应偏离表</w:t>
      </w:r>
    </w:p>
    <w:p w14:paraId="48890D53">
      <w:pPr>
        <w:pageBreakBefore w:val="0"/>
        <w:kinsoku/>
        <w:overflowPunct/>
        <w:topLinePunct w:val="0"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      项目编号：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</w:t>
      </w:r>
    </w:p>
    <w:tbl>
      <w:tblPr>
        <w:tblStyle w:val="3"/>
        <w:tblpPr w:leftFromText="180" w:rightFromText="180" w:vertAnchor="text" w:horzAnchor="page" w:tblpX="1278" w:tblpY="328"/>
        <w:tblOverlap w:val="never"/>
        <w:tblW w:w="9667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3472"/>
        <w:gridCol w:w="2791"/>
        <w:gridCol w:w="1279"/>
        <w:gridCol w:w="1134"/>
      </w:tblGrid>
      <w:tr w14:paraId="7804E4F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8A02C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61" w:leftChars="19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C125C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竞争性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谈判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文件</w:t>
            </w:r>
          </w:p>
          <w:p w14:paraId="3811DB4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技术需求</w:t>
            </w: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7E0A0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谈判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响应文件</w:t>
            </w:r>
          </w:p>
          <w:p w14:paraId="0F8624C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技术响应</w:t>
            </w: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5B964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5DF6E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说 明</w:t>
            </w:r>
          </w:p>
        </w:tc>
      </w:tr>
      <w:tr w14:paraId="1E0AE53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D997D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4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41B5B56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9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51D5B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15AAD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77236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05D335C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3B7A5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20F6DB3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7D2AD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9E29E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7D974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0D4D63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B9046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28AEE55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19090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B68D1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E5999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11D751C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D196C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21BD8FE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8A3AD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F100A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372E1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6C3CFD6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2993B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6E40E3F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5644A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8001A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38924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6AF0D5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C1659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13AE846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C3260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F7659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5B275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40C26A7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A928E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2F267D5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ABA34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BC865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08194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3ECA73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EA398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33F31FF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07F4D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51862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850C9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1AE9975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FAC52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73CAB8D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AB3A9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377F8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0CB62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1235A77C">
      <w:pPr>
        <w:pageBreakBefore w:val="0"/>
        <w:kinsoku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技术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响应偏离表须根据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谈判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文件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技术参数与性能要求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，进行逐条响应；如有漏报、瞒报竞争性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谈判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文件所要求的性能指标等将视为没有实质性响应竞争性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谈判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文件。</w:t>
      </w:r>
    </w:p>
    <w:p w14:paraId="0AAD5CD9">
      <w:pPr>
        <w:pageBreakBefore w:val="0"/>
        <w:kinsoku/>
        <w:overflowPunct/>
        <w:topLinePunct w:val="0"/>
        <w:bidi w:val="0"/>
        <w:spacing w:line="360" w:lineRule="auto"/>
        <w:jc w:val="left"/>
        <w:textAlignment w:val="auto"/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法定代表人或被授权人签字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（单位公章）         日 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63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uto"/>
      <w:ind w:firstLine="0" w:firstLineChars="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ind w:left="668" w:hanging="449"/>
      <w:outlineLvl w:val="1"/>
    </w:pPr>
    <w:rPr>
      <w:rFonts w:ascii="黑体" w:hAnsi="黑体" w:eastAsia="黑体" w:cs="黑体"/>
      <w:sz w:val="30"/>
      <w:szCs w:val="3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2025-07-11T05:11:11Z</dcterms:created>
  <dc:creator>兰洋</dc:creator>
  <cp:lastModifiedBy>兰洋</cp:lastModifiedBy>
  <dcterms:modified xsi:type="dcterms:W3CDTF">2025-07-11T05:11:23Z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eyJoZGlkIjoiMzEwNTM5NzYwMDRjMzkwZTVkZjY2ODkwMGIxNGU0OTUiLCJ1c2VySWQiOiIyNjA1MzA1OTIifQ==</vt:lpwstr>
  </property>
  <property fmtid="{D5CDD505-2E9C-101B-9397-08002B2CF9AE}" pid="4" name="ICV">
    <vt:lpwstr>6F94BB60D40B4DAA8BFD3EF9B78A6851_12</vt:lpwstr>
  </property>
</Properties>
</file>