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版本号：慧科ZX-CF01150BS20250710001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蓝桥镇圪塔庙村提升项目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慧科ZX-CF01150BS</w:t>
      </w:r>
      <w:r>
        <w:br/>
      </w:r>
      <w:r>
        <w:br/>
      </w:r>
      <w:r>
        <w:br/>
      </w:r>
    </w:p>
    <w:p>
      <w:pPr>
        <w:pStyle w:val="null3"/>
        <w:jc w:val="center"/>
        <w:outlineLvl w:val="2"/>
      </w:pPr>
      <w:r>
        <w:rPr>
          <w:rFonts w:ascii="仿宋_GB2312" w:hAnsi="仿宋_GB2312" w:cs="仿宋_GB2312" w:eastAsia="仿宋_GB2312"/>
          <w:sz w:val="28"/>
          <w:b/>
        </w:rPr>
        <w:t>西安市蓝田县蓝桥镇人民政府（本级）</w:t>
      </w:r>
    </w:p>
    <w:p>
      <w:pPr>
        <w:pStyle w:val="null3"/>
        <w:jc w:val="center"/>
        <w:outlineLvl w:val="2"/>
      </w:pPr>
      <w:r>
        <w:rPr>
          <w:rFonts w:ascii="仿宋_GB2312" w:hAnsi="仿宋_GB2312" w:cs="仿宋_GB2312" w:eastAsia="仿宋_GB2312"/>
          <w:sz w:val="28"/>
          <w:b/>
        </w:rPr>
        <w:t>陕西慧科工程管理咨询有限公司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陕西慧科工程管理咨询有限公司</w:t>
      </w:r>
      <w:r>
        <w:rPr>
          <w:rFonts w:ascii="仿宋_GB2312" w:hAnsi="仿宋_GB2312" w:cs="仿宋_GB2312" w:eastAsia="仿宋_GB2312"/>
        </w:rPr>
        <w:t>（以下简称“代理机构”）受</w:t>
      </w:r>
      <w:r>
        <w:rPr>
          <w:rFonts w:ascii="仿宋_GB2312" w:hAnsi="仿宋_GB2312" w:cs="仿宋_GB2312" w:eastAsia="仿宋_GB2312"/>
        </w:rPr>
        <w:t>西安市蓝田县蓝桥镇人民政府（本级）</w:t>
      </w:r>
      <w:r>
        <w:rPr>
          <w:rFonts w:ascii="仿宋_GB2312" w:hAnsi="仿宋_GB2312" w:cs="仿宋_GB2312" w:eastAsia="仿宋_GB2312"/>
        </w:rPr>
        <w:t>委托，拟对</w:t>
      </w:r>
      <w:r>
        <w:rPr>
          <w:rFonts w:ascii="仿宋_GB2312" w:hAnsi="仿宋_GB2312" w:cs="仿宋_GB2312" w:eastAsia="仿宋_GB2312"/>
        </w:rPr>
        <w:t>蓝桥镇圪塔庙村提升项目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慧科ZX-CF01150BS</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蓝桥镇圪塔庙村提升项目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为完善全村的基础设施建设，保障和改善民生,蓝桥镇圪塔庙村进行环境提升，主要包括修建护坡、维修路面、新增路灯等。</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采购包1（蓝桥镇圪塔庙村提升项目）：属于专门面向中小企业采购。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1、资质情况：须提供建设行政主管部门颁发市政公用工程施工总承包三级（含三级）及以上资质，并具有合格有效的安全生产许可证</w:t>
      </w:r>
    </w:p>
    <w:p>
      <w:pPr>
        <w:pStyle w:val="null3"/>
      </w:pPr>
      <w:r>
        <w:rPr>
          <w:rFonts w:ascii="仿宋_GB2312" w:hAnsi="仿宋_GB2312" w:cs="仿宋_GB2312" w:eastAsia="仿宋_GB2312"/>
        </w:rPr>
        <w:t>2、拟派项目负责人资质和专业要求：拟派项目经理须具备市政公用工程专业二级（含二级）及以上注册建造师及安全生产考核合格证书，在本单位注册且无在建工程（提供无在建工程承诺书）</w:t>
      </w:r>
    </w:p>
    <w:p>
      <w:pPr>
        <w:pStyle w:val="null3"/>
      </w:pPr>
      <w:r>
        <w:rPr>
          <w:rFonts w:ascii="仿宋_GB2312" w:hAnsi="仿宋_GB2312" w:cs="仿宋_GB2312" w:eastAsia="仿宋_GB2312"/>
        </w:rPr>
        <w:t>3、供应商及项目经理基本信息：供应商在“陕西省住房和城乡建设厅（http://js.shaanxi.gov.cn/）可查询到企业及项目负责人（项目经理）基本信息</w:t>
      </w:r>
    </w:p>
    <w:p>
      <w:pPr>
        <w:pStyle w:val="null3"/>
      </w:pPr>
      <w:r>
        <w:rPr>
          <w:rFonts w:ascii="仿宋_GB2312" w:hAnsi="仿宋_GB2312" w:cs="仿宋_GB2312" w:eastAsia="仿宋_GB2312"/>
        </w:rPr>
        <w:t>4、供应商信用：不得为“信用中国”网站(http://www.creditchina.gov.cn)列入“失信被执行人、重大税收违法失信主体、政府采购严重违法失信行为记录名单”的供应商；不得为中国政府采购网(http://www.ccgp.gov.cn)“政府采购严重违法失信行为记录名单”中的供应商（以代理机构开标当天查询结果为准）</w:t>
      </w:r>
    </w:p>
    <w:p>
      <w:pPr>
        <w:pStyle w:val="null3"/>
      </w:pPr>
      <w:r>
        <w:rPr>
          <w:rFonts w:ascii="仿宋_GB2312" w:hAnsi="仿宋_GB2312" w:cs="仿宋_GB2312" w:eastAsia="仿宋_GB2312"/>
        </w:rPr>
        <w:t>5、授权委托情况：法定代表人参加磋商的，须提供本人身份证复印件（附在响应文件中）；法定代表人授权他人参加磋商的，须提供法定代表人授权委托书。非法人单位参照执行</w:t>
      </w:r>
    </w:p>
    <w:p>
      <w:pPr>
        <w:pStyle w:val="null3"/>
      </w:pPr>
      <w:r>
        <w:rPr>
          <w:rFonts w:ascii="仿宋_GB2312" w:hAnsi="仿宋_GB2312" w:cs="仿宋_GB2312" w:eastAsia="仿宋_GB2312"/>
        </w:rPr>
        <w:t>6、关联关系承诺：单位负责人为同一人或者存在直接控股、管理关系的不同供应商，不得参加同一合同项下的政府采购活动</w:t>
      </w:r>
    </w:p>
    <w:p>
      <w:pPr>
        <w:pStyle w:val="null3"/>
      </w:pPr>
      <w:r>
        <w:rPr>
          <w:rFonts w:ascii="仿宋_GB2312" w:hAnsi="仿宋_GB2312" w:cs="仿宋_GB2312" w:eastAsia="仿宋_GB2312"/>
        </w:rPr>
        <w:t>7、本项目不接受联合体磋商：提供非联合体声明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西安市蓝田县蓝桥镇人民政府（本级）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蓝田县蓝桥镇</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710508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郭思锐</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15802968340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陕西慧科工程管理咨询有限公司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西安市高新区锦业一路56号研祥城市广场C座3楼C-306室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李小刚、丁旭涛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029-89285074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蓝田县政府采购管理股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 驰</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82721045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质量保证金缴纳比例：</w:t>
            </w:r>
            <w:r>
              <w:rPr>
                <w:rFonts w:ascii="仿宋_GB2312" w:hAnsi="仿宋_GB2312" w:cs="仿宋_GB2312" w:eastAsia="仿宋_GB2312"/>
              </w:rPr>
              <w:t>3.0</w:t>
            </w:r>
            <w:r>
              <w:rPr>
                <w:rFonts w:ascii="仿宋_GB2312" w:hAnsi="仿宋_GB2312" w:cs="仿宋_GB2312" w:eastAsia="仿宋_GB2312"/>
              </w:rPr>
              <w:t>%</w:t>
            </w:r>
          </w:p>
          <w:p>
            <w:pPr>
              <w:pStyle w:val="null3"/>
            </w:pPr>
            <w:r>
              <w:rPr>
                <w:rFonts w:ascii="仿宋_GB2312" w:hAnsi="仿宋_GB2312" w:cs="仿宋_GB2312" w:eastAsia="仿宋_GB2312"/>
              </w:rPr>
              <w:t>缴纳方式：</w:t>
            </w:r>
            <w:r>
              <w:rPr>
                <w:rFonts w:ascii="仿宋_GB2312" w:hAnsi="仿宋_GB2312" w:cs="仿宋_GB2312" w:eastAsia="仿宋_GB2312"/>
              </w:rPr>
              <w:t>合同款中扣除</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代理服务费收费标准：参照国家计委颁布的《招标代理服务收费管理暂行办法》（计价格[2002]1980号）和（发改办价格[2003]857号）中工程类收费标准收取。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西安市蓝田县蓝桥镇人民政府（本级）</w:t>
      </w:r>
      <w:r>
        <w:rPr>
          <w:rFonts w:ascii="仿宋_GB2312" w:hAnsi="仿宋_GB2312" w:cs="仿宋_GB2312" w:eastAsia="仿宋_GB2312"/>
        </w:rPr>
        <w:t>和</w:t>
      </w:r>
      <w:r>
        <w:rPr>
          <w:rFonts w:ascii="仿宋_GB2312" w:hAnsi="仿宋_GB2312" w:cs="仿宋_GB2312" w:eastAsia="仿宋_GB2312"/>
        </w:rPr>
        <w:t>陕西慧科工程管理咨询有限公司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西安市蓝田县蓝桥镇人民政府（本级）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陕西慧科工程管理咨询有限公司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西安市蓝田县蓝桥镇人民政府（本级）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陕西慧科工程管理咨询有限公司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采购包1：项目包干价</w:t>
      </w:r>
    </w:p>
    <w:p>
      <w:pPr>
        <w:pStyle w:val="null3"/>
      </w:pPr>
      <w:r>
        <w:rPr>
          <w:rFonts w:ascii="仿宋_GB2312" w:hAnsi="仿宋_GB2312" w:cs="仿宋_GB2312" w:eastAsia="仿宋_GB2312"/>
        </w:rPr>
        <w:t>项目包干价。适用于设计施工图纸详尽完善（即工程量固定），投资规模较小、施工工期较短且施工内容相对简单的工程项目。</w:t>
      </w:r>
    </w:p>
    <w:p>
      <w:pPr>
        <w:pStyle w:val="null3"/>
      </w:pPr>
      <w:r>
        <w:rPr>
          <w:rFonts w:ascii="仿宋_GB2312" w:hAnsi="仿宋_GB2312" w:cs="仿宋_GB2312" w:eastAsia="仿宋_GB2312"/>
        </w:rPr>
        <w:t>参加采购活动的供应商应当全部响应采购人提供的工程量清单，供应商直接给出其完成本项目全部工作内容所需的总价，不再提供已标价工程量清单。</w:t>
      </w:r>
    </w:p>
    <w:p>
      <w:pPr>
        <w:pStyle w:val="null3"/>
      </w:pPr>
      <w:r>
        <w:rPr>
          <w:rFonts w:ascii="仿宋_GB2312" w:hAnsi="仿宋_GB2312" w:cs="仿宋_GB2312" w:eastAsia="仿宋_GB2312"/>
        </w:rPr>
        <w:t>说明：采购人选择采用此种报价方式的，应当科学测算项目工程量，避免工程量调整造成履约纠纷。</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陕西慧科工程管理咨询有限公司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陕西慧科工程管理咨询有限公司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陕西慧科工程管理咨询有限公司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联系人：李小刚、丁旭涛</w:t>
      </w:r>
    </w:p>
    <w:p>
      <w:pPr>
        <w:pStyle w:val="null3"/>
      </w:pPr>
      <w:r>
        <w:rPr>
          <w:rFonts w:ascii="仿宋_GB2312" w:hAnsi="仿宋_GB2312" w:cs="仿宋_GB2312" w:eastAsia="仿宋_GB2312"/>
        </w:rPr>
        <w:t>联系电话：029-89285074</w:t>
      </w:r>
    </w:p>
    <w:p>
      <w:pPr>
        <w:pStyle w:val="null3"/>
      </w:pPr>
      <w:r>
        <w:rPr>
          <w:rFonts w:ascii="仿宋_GB2312" w:hAnsi="仿宋_GB2312" w:cs="仿宋_GB2312" w:eastAsia="仿宋_GB2312"/>
        </w:rPr>
        <w:t>地址：西安市高新区锦业一路56号研祥城市广场C座3楼C-306室</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899,100.00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蓝桥镇圪塔庙村提升项目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900,000.00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标的名称：蓝桥镇圪塔庙村提升项目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ind w:firstLine="420"/>
            </w:pPr>
            <w:r>
              <w:rPr>
                <w:rFonts w:ascii="仿宋_GB2312" w:hAnsi="仿宋_GB2312" w:cs="仿宋_GB2312" w:eastAsia="仿宋_GB2312"/>
                <w:sz w:val="20"/>
              </w:rPr>
              <w:t>一、工程内容和实施地点、计划工期、缺陷责任期、质量保修期</w:t>
            </w:r>
          </w:p>
          <w:p>
            <w:pPr>
              <w:pStyle w:val="null3"/>
            </w:pPr>
            <w:r>
              <w:rPr>
                <w:rFonts w:ascii="仿宋_GB2312" w:hAnsi="仿宋_GB2312" w:cs="仿宋_GB2312" w:eastAsia="仿宋_GB2312"/>
                <w:sz w:val="20"/>
              </w:rPr>
              <w:t>1、（1）项目概况：为完善全村的基础设施建设，保障和改善民生,蓝桥镇圪塔庙村进行环境提升，主要包括修建护坡、维修路面、新增路灯等。</w:t>
            </w:r>
          </w:p>
          <w:p>
            <w:pPr>
              <w:pStyle w:val="null3"/>
            </w:pPr>
            <w:r>
              <w:rPr>
                <w:rFonts w:ascii="仿宋_GB2312" w:hAnsi="仿宋_GB2312" w:cs="仿宋_GB2312" w:eastAsia="仿宋_GB2312"/>
                <w:sz w:val="20"/>
              </w:rPr>
              <w:t>（2）工程内容：①村片区化后修建石护坡；②村片区化前护坡；③村片区化广场透水砖；④水泥混凝土路面；⑤一组至四组新增路灯；⑥村片区化路灯等。具体详见工程量清单。</w:t>
            </w:r>
          </w:p>
          <w:p>
            <w:pPr>
              <w:pStyle w:val="null3"/>
            </w:pPr>
            <w:r>
              <w:rPr>
                <w:rFonts w:ascii="仿宋_GB2312" w:hAnsi="仿宋_GB2312" w:cs="仿宋_GB2312" w:eastAsia="仿宋_GB2312"/>
                <w:sz w:val="20"/>
              </w:rPr>
              <w:t>2、实施地点：蓝桥镇圪塔庙村</w:t>
            </w:r>
          </w:p>
          <w:p>
            <w:pPr>
              <w:pStyle w:val="null3"/>
            </w:pPr>
            <w:r>
              <w:rPr>
                <w:rFonts w:ascii="仿宋_GB2312" w:hAnsi="仿宋_GB2312" w:cs="仿宋_GB2312" w:eastAsia="仿宋_GB2312"/>
                <w:sz w:val="20"/>
              </w:rPr>
              <w:t>3、计划工期：合同签订之日起30日历日</w:t>
            </w:r>
          </w:p>
          <w:p>
            <w:pPr>
              <w:pStyle w:val="null3"/>
            </w:pPr>
            <w:r>
              <w:rPr>
                <w:rFonts w:ascii="仿宋_GB2312" w:hAnsi="仿宋_GB2312" w:cs="仿宋_GB2312" w:eastAsia="仿宋_GB2312"/>
                <w:sz w:val="20"/>
              </w:rPr>
              <w:t>4、缺陷责任期：自竣工验收合格之日起12个月</w:t>
            </w:r>
          </w:p>
          <w:p>
            <w:pPr>
              <w:pStyle w:val="null3"/>
            </w:pPr>
            <w:r>
              <w:rPr>
                <w:rFonts w:ascii="仿宋_GB2312" w:hAnsi="仿宋_GB2312" w:cs="仿宋_GB2312" w:eastAsia="仿宋_GB2312"/>
                <w:sz w:val="20"/>
              </w:rPr>
              <w:t>5、质量保修期：不少于12个月</w:t>
            </w:r>
          </w:p>
          <w:p>
            <w:pPr>
              <w:pStyle w:val="null3"/>
            </w:pPr>
            <w:r>
              <w:rPr>
                <w:rFonts w:ascii="仿宋_GB2312" w:hAnsi="仿宋_GB2312" w:cs="仿宋_GB2312" w:eastAsia="仿宋_GB2312"/>
                <w:sz w:val="20"/>
              </w:rPr>
              <w:t>二、施工要求</w:t>
            </w:r>
          </w:p>
          <w:p>
            <w:pPr>
              <w:pStyle w:val="null3"/>
            </w:pPr>
            <w:r>
              <w:rPr>
                <w:rFonts w:ascii="仿宋_GB2312" w:hAnsi="仿宋_GB2312" w:cs="仿宋_GB2312" w:eastAsia="仿宋_GB2312"/>
                <w:sz w:val="20"/>
              </w:rPr>
              <w:t>在施工期间，中标供应商必须注意施工人员的人身安全，加强安全措施，并对施工人员进行安全教育。施工地点需安装高1.8米的围挡。</w:t>
            </w:r>
          </w:p>
          <w:p>
            <w:pPr>
              <w:pStyle w:val="null3"/>
            </w:pPr>
            <w:r>
              <w:rPr>
                <w:rFonts w:ascii="仿宋_GB2312" w:hAnsi="仿宋_GB2312" w:cs="仿宋_GB2312" w:eastAsia="仿宋_GB2312"/>
                <w:sz w:val="20"/>
              </w:rPr>
              <w:t>三、商务条款</w:t>
            </w:r>
          </w:p>
          <w:p>
            <w:pPr>
              <w:pStyle w:val="null3"/>
            </w:pPr>
            <w:r>
              <w:rPr>
                <w:rFonts w:ascii="仿宋_GB2312" w:hAnsi="仿宋_GB2312" w:cs="仿宋_GB2312" w:eastAsia="仿宋_GB2312"/>
                <w:sz w:val="20"/>
              </w:rPr>
              <w:t>1、款项结算：</w:t>
            </w:r>
          </w:p>
          <w:p>
            <w:pPr>
              <w:pStyle w:val="null3"/>
            </w:pPr>
            <w:r>
              <w:rPr>
                <w:rFonts w:ascii="仿宋_GB2312" w:hAnsi="仿宋_GB2312" w:cs="仿宋_GB2312" w:eastAsia="仿宋_GB2312"/>
                <w:sz w:val="20"/>
              </w:rPr>
              <w:t>（1）合同签订后，支付合同总价款的40%</w:t>
            </w:r>
          </w:p>
          <w:p>
            <w:pPr>
              <w:pStyle w:val="null3"/>
            </w:pPr>
            <w:r>
              <w:rPr>
                <w:rFonts w:ascii="仿宋_GB2312" w:hAnsi="仿宋_GB2312" w:cs="仿宋_GB2312" w:eastAsia="仿宋_GB2312"/>
                <w:sz w:val="20"/>
              </w:rPr>
              <w:t>（2）工程竣工，验收合格后支付至合同总价款的80%；</w:t>
            </w:r>
          </w:p>
          <w:p>
            <w:pPr>
              <w:pStyle w:val="null3"/>
            </w:pPr>
            <w:r>
              <w:rPr>
                <w:rFonts w:ascii="仿宋_GB2312" w:hAnsi="仿宋_GB2312" w:cs="仿宋_GB2312" w:eastAsia="仿宋_GB2312"/>
                <w:sz w:val="20"/>
              </w:rPr>
              <w:t>（3）审计结束，累计支付合同总价款的97%；</w:t>
            </w:r>
          </w:p>
          <w:p>
            <w:pPr>
              <w:pStyle w:val="null3"/>
            </w:pPr>
            <w:r>
              <w:rPr>
                <w:rFonts w:ascii="仿宋_GB2312" w:hAnsi="仿宋_GB2312" w:cs="仿宋_GB2312" w:eastAsia="仿宋_GB2312"/>
                <w:sz w:val="20"/>
              </w:rPr>
              <w:t>（4）剩余3%作为项目质保金。</w:t>
            </w:r>
          </w:p>
          <w:p>
            <w:pPr>
              <w:pStyle w:val="null3"/>
            </w:pPr>
            <w:r>
              <w:rPr>
                <w:rFonts w:ascii="仿宋_GB2312" w:hAnsi="仿宋_GB2312" w:cs="仿宋_GB2312" w:eastAsia="仿宋_GB2312"/>
                <w:sz w:val="20"/>
              </w:rPr>
              <w:t>四、其他</w:t>
            </w:r>
          </w:p>
          <w:p>
            <w:pPr>
              <w:pStyle w:val="null3"/>
            </w:pPr>
            <w:r>
              <w:rPr>
                <w:rFonts w:ascii="仿宋_GB2312" w:hAnsi="仿宋_GB2312" w:cs="仿宋_GB2312" w:eastAsia="仿宋_GB2312"/>
                <w:sz w:val="20"/>
              </w:rPr>
              <w:t>1、质量验收标准或规范</w:t>
            </w:r>
          </w:p>
          <w:p>
            <w:pPr>
              <w:pStyle w:val="null3"/>
            </w:pPr>
            <w:r>
              <w:rPr>
                <w:rFonts w:ascii="仿宋_GB2312" w:hAnsi="仿宋_GB2312" w:cs="仿宋_GB2312" w:eastAsia="仿宋_GB2312"/>
                <w:sz w:val="20"/>
              </w:rPr>
              <w:t>质量标准：达到国家规定的“合格”标准</w:t>
            </w:r>
          </w:p>
          <w:p>
            <w:pPr>
              <w:pStyle w:val="null3"/>
            </w:pPr>
            <w:r>
              <w:rPr>
                <w:rFonts w:ascii="仿宋_GB2312" w:hAnsi="仿宋_GB2312" w:cs="仿宋_GB2312" w:eastAsia="仿宋_GB2312"/>
                <w:sz w:val="20"/>
              </w:rPr>
              <w:t>验收标准或规范：达到国家标准，行业标准及采购人要求。</w:t>
            </w:r>
          </w:p>
          <w:p>
            <w:pPr>
              <w:pStyle w:val="null3"/>
            </w:pPr>
            <w:r>
              <w:rPr>
                <w:rFonts w:ascii="仿宋_GB2312" w:hAnsi="仿宋_GB2312" w:cs="仿宋_GB2312" w:eastAsia="仿宋_GB2312"/>
                <w:sz w:val="20"/>
              </w:rPr>
              <w:t>2、违约责任</w:t>
            </w:r>
          </w:p>
          <w:p>
            <w:pPr>
              <w:pStyle w:val="null3"/>
            </w:pPr>
            <w:r>
              <w:rPr>
                <w:rFonts w:ascii="仿宋_GB2312" w:hAnsi="仿宋_GB2312" w:cs="仿宋_GB2312" w:eastAsia="仿宋_GB2312"/>
                <w:sz w:val="20"/>
              </w:rPr>
              <w:t>未按合同要求提供服务，发包方会同监督机构有权终止合同，对承包方违约行为进行追究，同时按政府采购法的有关规定进行相应的处罚。</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达到国家标准，行业标准及采购人要求。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采购文件2.4.7响应报价（实质性要求）内容为电子化交易系统采购文件模板，无法修改。现对响应报价做出以下要求： 1、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 2、供应商提交的已标价工程量清单应符合本项目工程量清单以及清单说明的要求。当供应商的已标价工程量清单有下列情形之一的，应按照无效响应文件处理。 （一）供应商对工程量清单中的分部分项工程量清单项目（说明：根据建筑、水利、交通等确定具体表述）的单价未填报或填报为零的，视为未完全响应工程量清单，作无效处理； （二）已标价工程量清单的项目编码、项目名称、项目特征（与采购人提供的工程量清单中的项目特征的实质性内容一致的除外）、计量单位、工程量与采购人提供的工程量清单不一致的； （三）采购文件已明确各单位工程安全文明施工费中的环境保护费、文明施工费、安全施工费、临时设施费金额并要求按此金额填报而供应商填报错误或未填报的，或供应商未按相关计价规定计取安全文明施工费的； （四）采购文件已明确各单位工程规费金额并要求按此金额填报而供应商填报错误或未填报的，或供应商未按相关计价规定计取规费的； （五）采购文件若已明确创优质工程奖补偿奖励费金额并要求按此金额填报而供应商填报错误或未填报的； （六）已标价工程量清单中暂列金额未按工程量清单中列明的金额填报的； （七）已标价工程量清单中材料、工程设备暂估价未按工程量清单中列出的单价计入综合单价的； （八）已标价工程量清单中专业工程暂估价未按工程量清单中列明的金额填写的； （九）已标价工程量清单中计日工未按工程量清单中列明的数量进行报价的； （十）单价、合价或总价，不论其大写金额或小写金额均只能有一个，否则，作无效处理。 3、供应商的最后报价只报总价，依据（1-二次总报价/一次总报价*100%）=下浮率，各分项单价按照一次报价*（1-下浮率）进行计算。 4、供应商报价超过政府采购预算或最高限价（金额详见“供应商须知前附表”）的，其响应文件按无效处理。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投标人2024年度经审计的财务报告或投标截止时间前三个月内其基本开户银行出具的资信证明及账户开户许可证明材料或财政部门认可的政府采购专业担保机构开具的投标担保函（任选其一）</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提供响应文件递交截止日前一年内已缴存的至少一个月的纳税证明或完税证明。依法免税的供应商应提供相关文件证明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提供磋商响应文件递交截止日前一年内已缴存的至少一个月的社会保障资金缴存单据或社保机构开具的社会保险参保缴费情况证明，依法不需要缴纳社会保障资金的单位应提供相关证明材料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专业技术能力的声明</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资质情况</w:t>
            </w:r>
          </w:p>
        </w:tc>
        <w:tc>
          <w:tcPr>
            <w:tcW w:type="dxa" w:w="3322"/>
          </w:tcPr>
          <w:p>
            <w:pPr>
              <w:pStyle w:val="null3"/>
            </w:pPr>
            <w:r>
              <w:rPr>
                <w:rFonts w:ascii="仿宋_GB2312" w:hAnsi="仿宋_GB2312" w:cs="仿宋_GB2312" w:eastAsia="仿宋_GB2312"/>
              </w:rPr>
              <w:t>须提供建设行政主管部门颁发市政公用工程施工总承包三级（含三级）及以上资质，并具有合格有效的安全生产许可证</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拟派项目经理须具备市政公用工程专业二级（含二级）及以上注册建造师及安全生产考核合格证书，在本单位注册且无在建工程（提供无在建工程承诺书）</w:t>
            </w:r>
          </w:p>
        </w:tc>
        <w:tc>
          <w:tcPr>
            <w:tcW w:type="dxa" w:w="1661"/>
          </w:tcPr>
          <w:p>
            <w:pPr>
              <w:pStyle w:val="null3"/>
            </w:pPr>
            <w:r>
              <w:rPr>
                <w:rFonts w:ascii="仿宋_GB2312" w:hAnsi="仿宋_GB2312" w:cs="仿宋_GB2312" w:eastAsia="仿宋_GB2312"/>
              </w:rPr>
              <w:t>项目管理机构组成表 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供应商及项目经理基本信息</w:t>
            </w:r>
          </w:p>
        </w:tc>
        <w:tc>
          <w:tcPr>
            <w:tcW w:type="dxa" w:w="3322"/>
          </w:tcPr>
          <w:p>
            <w:pPr>
              <w:pStyle w:val="null3"/>
            </w:pPr>
            <w:r>
              <w:rPr>
                <w:rFonts w:ascii="仿宋_GB2312" w:hAnsi="仿宋_GB2312" w:cs="仿宋_GB2312" w:eastAsia="仿宋_GB2312"/>
              </w:rPr>
              <w:t>供应商在“陕西省住房和城乡建设厅（http://js.shaanxi.gov.cn/）可查询到企业及项目负责人（项目经理）基本信息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供应商信用</w:t>
            </w:r>
          </w:p>
        </w:tc>
        <w:tc>
          <w:tcPr>
            <w:tcW w:type="dxa" w:w="3322"/>
          </w:tcPr>
          <w:p>
            <w:pPr>
              <w:pStyle w:val="null3"/>
            </w:pPr>
            <w:r>
              <w:rPr>
                <w:rFonts w:ascii="仿宋_GB2312" w:hAnsi="仿宋_GB2312" w:cs="仿宋_GB2312" w:eastAsia="仿宋_GB2312"/>
              </w:rPr>
              <w:t>不得为“信用中国”网站(http://www.creditchina.gov.cn)列入“失信被执行人、重大税收违法失信主体、政府采购严重违法失信行为记录名单”的供应商；不得为中国政府采购网(http://www.ccgp.gov.cn)“政府采购严重违法失信行为记录名单”中的供应商（以代理机构开标当天查询结果为准）</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授权委托情况</w:t>
            </w:r>
          </w:p>
        </w:tc>
        <w:tc>
          <w:tcPr>
            <w:tcW w:type="dxa" w:w="3322"/>
          </w:tcPr>
          <w:p>
            <w:pPr>
              <w:pStyle w:val="null3"/>
            </w:pPr>
            <w:r>
              <w:rPr>
                <w:rFonts w:ascii="仿宋_GB2312" w:hAnsi="仿宋_GB2312" w:cs="仿宋_GB2312" w:eastAsia="仿宋_GB2312"/>
              </w:rPr>
              <w:t>法定代表人参加磋商的，须提供本人身份证复印件（附在响应文件中）；法定代表人授权他人参加磋商的，须提供法定代表人授权委托书。非法人单位参照执行</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关联关系承诺</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提供非联合体声明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签章均符合采购文件要求，且无遗漏</w:t>
            </w:r>
          </w:p>
        </w:tc>
        <w:tc>
          <w:tcPr>
            <w:tcW w:type="dxa" w:w="1661"/>
          </w:tcPr>
          <w:p>
            <w:pPr>
              <w:pStyle w:val="null3"/>
            </w:pPr>
            <w:r>
              <w:rPr>
                <w:rFonts w:ascii="仿宋_GB2312" w:hAnsi="仿宋_GB2312" w:cs="仿宋_GB2312" w:eastAsia="仿宋_GB2312"/>
              </w:rPr>
              <w:t>已标价工程量清单 施工组织设计 中小企业声明函 技术服务合同条款及其他商务要求应答表 供应商应提交的相关资格证明材料 强制优先采购产品承诺函 响应文件封面 项目管理机构组成表 残疾人福利性单位声明函 供应商类似项目业绩一览表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只能有一个有效报价，不得提交选择性报价，且报价不超过采购预算金额或最高限价。同时报价应响应项目需求，不响应的按无效投标处理</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项目经理和项目部组成方案</w:t>
            </w:r>
          </w:p>
        </w:tc>
        <w:tc>
          <w:tcPr>
            <w:tcW w:type="dxa" w:w="2492"/>
          </w:tcPr>
          <w:p>
            <w:pPr>
              <w:pStyle w:val="null3"/>
            </w:pPr>
            <w:r>
              <w:rPr>
                <w:rFonts w:ascii="仿宋_GB2312" w:hAnsi="仿宋_GB2312" w:cs="仿宋_GB2312" w:eastAsia="仿宋_GB2312"/>
              </w:rPr>
              <w:t>根据供应商提供的项目人员情况进行评审如项目经理、技术负责人、施工员、资料员等人员配备方案由磋商小组进行综合评审。 方案全面、合理、规范，可操作性强得6分； 方案比较合理和规范，有较强的可操作性得5分； 方案相对合理和规范，有相对较强的可操作性得4分； 方案基本合理，有一定的可操作性得3分； 方案不太合理，可操作性不强得2分； 方案有缺漏，可操作性差得1分；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施工方案和方法</w:t>
            </w:r>
          </w:p>
        </w:tc>
        <w:tc>
          <w:tcPr>
            <w:tcW w:type="dxa" w:w="2492"/>
          </w:tcPr>
          <w:p>
            <w:pPr>
              <w:pStyle w:val="null3"/>
            </w:pPr>
            <w:r>
              <w:rPr>
                <w:rFonts w:ascii="仿宋_GB2312" w:hAnsi="仿宋_GB2312" w:cs="仿宋_GB2312" w:eastAsia="仿宋_GB2312"/>
              </w:rPr>
              <w:t>根据供应商提供的施工方案和方法，如施工部署、施工顺序、各项管理目标等，由磋商小组进行综合评审。 施工方案和方法全面、合理、规范，可操作性强得6分； 施工方案和方法比较合理和规范，有较强的可操作性得5分； 施工方案和方法相对合理和规范，有相对较强的可操作性得4分； 施工方案和方法基本合理，有一定的可操作性得3分； 施工方案和方法不太合理，可操作性不强得2分； 施工方案和方法有缺漏，可操作性差得1分；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确保工期的技术组织措施</w:t>
            </w:r>
          </w:p>
        </w:tc>
        <w:tc>
          <w:tcPr>
            <w:tcW w:type="dxa" w:w="2492"/>
          </w:tcPr>
          <w:p>
            <w:pPr>
              <w:pStyle w:val="null3"/>
            </w:pPr>
            <w:r>
              <w:rPr>
                <w:rFonts w:ascii="仿宋_GB2312" w:hAnsi="仿宋_GB2312" w:cs="仿宋_GB2312" w:eastAsia="仿宋_GB2312"/>
              </w:rPr>
              <w:t>根据供应商提供的施工进度动态管控、工艺创新与技术保障、管理机构与责任分工、应急预案与标准化作业措施等，由磋商小组进行综合评审。 措施全面、合理、规范，可操作性强得6分； 措施比较合理和规范，有较强的可操作性得5分； 措施相对合理和规范，有相对较强的可操作性得4分； 措施基本合理，有一定的可操作性得3分； 措施不太合理，可操作性不强得2分； 措施有缺漏，可操作性差得1分；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确保工程质量的技术措施</w:t>
            </w:r>
          </w:p>
        </w:tc>
        <w:tc>
          <w:tcPr>
            <w:tcW w:type="dxa" w:w="2492"/>
          </w:tcPr>
          <w:p>
            <w:pPr>
              <w:pStyle w:val="null3"/>
            </w:pPr>
            <w:r>
              <w:rPr>
                <w:rFonts w:ascii="仿宋_GB2312" w:hAnsi="仿宋_GB2312" w:cs="仿宋_GB2312" w:eastAsia="仿宋_GB2312"/>
              </w:rPr>
              <w:t>根据供应商提供的材料与设备质量控制、施工技术准备、施工过程质量监控、技术创新与工艺优化措施等，由磋商小组进行综合评审。 措施全面、合理、规范，可操作性强得6分； 措施比较合理和规范，有较强的可操作性得5分； 措施相对合理和规范，有相对较强的可操作性得4分； 措施基本合理，有一定的可操作性得3分； 措施不太合理，可操作性不强得2分； 措施有缺漏，可操作性差得1分；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根据供应商提供的安全防护设施规范设置、机械设备安全管理、责任体系与管理制度措施等，由磋商小组进行综合评审。 措施全面、合理、规范，可操作性强得6分； 措施比较合理和规范，有较强的可操作性得5分； 措施相对合理和规范，有相对较强的可操作性得4分； 措施基本合理，有一定的可操作性得3分； 措施不太合理，可操作性不强得2分； 措施有缺漏，可操作性差得1分；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施工部署及施工总平面布置图及临时设施临时用地表布置措施</w:t>
            </w:r>
          </w:p>
        </w:tc>
        <w:tc>
          <w:tcPr>
            <w:tcW w:type="dxa" w:w="2492"/>
          </w:tcPr>
          <w:p>
            <w:pPr>
              <w:pStyle w:val="null3"/>
            </w:pPr>
            <w:r>
              <w:rPr>
                <w:rFonts w:ascii="仿宋_GB2312" w:hAnsi="仿宋_GB2312" w:cs="仿宋_GB2312" w:eastAsia="仿宋_GB2312"/>
              </w:rPr>
              <w:t>根据供应商提供的平面布置、临时设施分类布置、重点管控措施等，由磋商小组进行综合评审。 措施全面、合理、规范，可操作性强得6分； 措施比较合理和规范，有较强的可操作性得5分； 措施相对合理和规范，有相对较强的可操作性得4分； 措施基本合理，有一定的可操作性得3分； 措施不太合理，可操作性不强得2分； 措施有缺漏，可操作性差得1分；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确保文明施工的技术组织措施及环境保护措施</w:t>
            </w:r>
          </w:p>
        </w:tc>
        <w:tc>
          <w:tcPr>
            <w:tcW w:type="dxa" w:w="2492"/>
          </w:tcPr>
          <w:p>
            <w:pPr>
              <w:pStyle w:val="null3"/>
            </w:pPr>
            <w:r>
              <w:rPr>
                <w:rFonts w:ascii="仿宋_GB2312" w:hAnsi="仿宋_GB2312" w:cs="仿宋_GB2312" w:eastAsia="仿宋_GB2312"/>
              </w:rPr>
              <w:t>根据供应商提供的管理体系构建、场容场貌标准化、扬尘污染控制、噪声与振动管控措施等，由磋商小组进行综合评审。 措施全面、合理、规范，可操作性强得6分； 措施比较合理和规范，有较强的可操作性得5分； 措施相对合理和规范，有相对较强的可操作性得4分； 措施基本合理，有一定的可操作性得3分； 措施不太合理，可操作性不强得2分； 措施有缺漏，可操作性差得1分；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主要机具、设备和劳动力配备方案</w:t>
            </w:r>
          </w:p>
        </w:tc>
        <w:tc>
          <w:tcPr>
            <w:tcW w:type="dxa" w:w="2492"/>
          </w:tcPr>
          <w:p>
            <w:pPr>
              <w:pStyle w:val="null3"/>
            </w:pPr>
            <w:r>
              <w:rPr>
                <w:rFonts w:ascii="仿宋_GB2312" w:hAnsi="仿宋_GB2312" w:cs="仿宋_GB2312" w:eastAsia="仿宋_GB2312"/>
              </w:rPr>
              <w:t>根据供应商提供的主要机械设备配备、劳动力配置、联动保障机制方案等，由磋商小组进行综合评审。 方案全面、合理、规范，可操作性强得6分； 方案比较合理和规范，有较强的可操作性得5分； 方案相对合理和规范，有相对较强的可操作性得4分； 方案基本合理，有一定的可操作性得3分； 方案不太合理，可操作性不强得2分； 方案有缺漏，可操作性差得1分；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进度计划和工期目标（供应商提供施工计划网络图或横道图）方案</w:t>
            </w:r>
          </w:p>
        </w:tc>
        <w:tc>
          <w:tcPr>
            <w:tcW w:type="dxa" w:w="2492"/>
          </w:tcPr>
          <w:p>
            <w:pPr>
              <w:pStyle w:val="null3"/>
            </w:pPr>
            <w:r>
              <w:rPr>
                <w:rFonts w:ascii="仿宋_GB2312" w:hAnsi="仿宋_GB2312" w:cs="仿宋_GB2312" w:eastAsia="仿宋_GB2312"/>
              </w:rPr>
              <w:t>根据供应商提供的工期目标规划、施工总进度计划、进度计划实施工具方案等，由磋商小组进行综合评审。 方案全面、合理、规范，可操作性强得6分； 方案比较合理和规范，有较强的可操作性得5分； 方案相对合理和规范，有相对较强的可操作性得4分； 方案基本合理，有一定的可操作性得3分； 方案不太合理，可操作性不强得2分； 方案有缺漏，可操作性差得1分；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采用新技术、新工艺对提供工程质量、缩短工期、降低造价的可行性方案</w:t>
            </w:r>
          </w:p>
        </w:tc>
        <w:tc>
          <w:tcPr>
            <w:tcW w:type="dxa" w:w="2492"/>
          </w:tcPr>
          <w:p>
            <w:pPr>
              <w:pStyle w:val="null3"/>
            </w:pPr>
            <w:r>
              <w:rPr>
                <w:rFonts w:ascii="仿宋_GB2312" w:hAnsi="仿宋_GB2312" w:cs="仿宋_GB2312" w:eastAsia="仿宋_GB2312"/>
              </w:rPr>
              <w:t>根据供应商提供的质量提升技术、工期缩短技术、成本降低技术、联动增效机制方案等，由磋商小组进行综合评审。 方案全面、合理、规范，可操作性强得6分； 方案比较合理和规范，有较强的可操作性得5分； 方案相对合理和规范，有相对较强的可操作性得4分； 方案基本合理，有一定的可操作性得3分； 方案不太合理，可操作性不强得2分； 方案有缺漏，可操作性差得1分； 未提供相关内容不得分。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提供自2022年1月1日至今的类似项目业绩，每提供1份类似项目业绩（以合同签订时间为准）得2分，满分10分。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施工组织设计</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经评委会一致认定满足竞争性磋商文件要求且磋商价格最低的磋商报价为评标基准价，其价格得分计30分。 其他供应商的价格得分统一按公式计算： 报价得分＝评标基准价÷磋商报价×30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详见附件：施工组织设计</w:t>
      </w:r>
    </w:p>
    <w:p>
      <w:pPr>
        <w:pStyle w:val="null3"/>
        <w:ind w:firstLine="960"/>
      </w:pPr>
      <w:r>
        <w:rPr>
          <w:rFonts w:ascii="仿宋_GB2312" w:hAnsi="仿宋_GB2312" w:cs="仿宋_GB2312" w:eastAsia="仿宋_GB2312"/>
        </w:rPr>
        <w:t>详见附件：供应商应提交的相关资格证明材料</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详见附件：施工合同模板.docx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