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版本号：HJST-2025-004.1B120250724001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蓝田县滋水路道路改造提升工程检测项目(二次)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HJST-2025-004.1B1</w:t>
      </w:r>
      <w:r>
        <w:br/>
      </w:r>
      <w:r>
        <w:br/>
      </w:r>
      <w:r>
        <w:br/>
      </w:r>
    </w:p>
    <w:p>
      <w:pPr>
        <w:pStyle w:val="null3"/>
        <w:jc w:val="center"/>
        <w:outlineLvl w:val="2"/>
      </w:pPr>
      <w:r>
        <w:rPr>
          <w:rFonts w:ascii="仿宋_GB2312" w:hAnsi="仿宋_GB2312" w:cs="仿宋_GB2312" w:eastAsia="仿宋_GB2312"/>
          <w:sz w:val="28"/>
          <w:b/>
        </w:rPr>
        <w:t>西安市蓝田县住房和城乡建设局（本级）</w:t>
      </w:r>
    </w:p>
    <w:p>
      <w:pPr>
        <w:pStyle w:val="null3"/>
        <w:jc w:val="center"/>
        <w:outlineLvl w:val="2"/>
      </w:pPr>
      <w:r>
        <w:rPr>
          <w:rFonts w:ascii="仿宋_GB2312" w:hAnsi="仿宋_GB2312" w:cs="仿宋_GB2312" w:eastAsia="仿宋_GB2312"/>
          <w:sz w:val="28"/>
          <w:b/>
        </w:rPr>
        <w:t>陕西浩璟盛腾项目管理有限公司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陕西浩璟盛腾项目管理有限公司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西安市蓝田县住房和城乡建设局（本级）</w:t>
      </w:r>
      <w:r>
        <w:rPr>
          <w:rFonts w:ascii="仿宋_GB2312" w:hAnsi="仿宋_GB2312" w:cs="仿宋_GB2312" w:eastAsia="仿宋_GB2312"/>
        </w:rPr>
        <w:t>委托，拟对</w:t>
      </w:r>
      <w:r>
        <w:rPr>
          <w:rFonts w:ascii="仿宋_GB2312" w:hAnsi="仿宋_GB2312" w:cs="仿宋_GB2312" w:eastAsia="仿宋_GB2312"/>
        </w:rPr>
        <w:t>蓝田县滋水路道路改造提升工程检测项目(二次)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HJST-2025-004.1B1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蓝田县滋水路道路改造提升工程检测项目(二次)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蓝田县滋水路道路改造提升工程质量检测项目进行工程质量检测,包括原材以及施工过程的沥青混凝土检测，水稳碎石检测，路基回填检测，混凝土挡块检测等。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采购包1（蓝田县滋水路道路改造提升工程检测）：属于专门面向中小企业采购。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2、资质证书：具有建设行政主管部门颁发的建设工程质量检测机构资质证书（市政道路工程检测资质）；</w:t>
      </w:r>
    </w:p>
    <w:p>
      <w:pPr>
        <w:pStyle w:val="null3"/>
      </w:pPr>
      <w:r>
        <w:rPr>
          <w:rFonts w:ascii="仿宋_GB2312" w:hAnsi="仿宋_GB2312" w:cs="仿宋_GB2312" w:eastAsia="仿宋_GB2312"/>
        </w:rPr>
        <w:t>3、财务状况报告：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4、税收缴纳证明：供截止至开标时间前一年（2024年）内任意一个月的税收缴纳凭据；（增值税、企业所得税至少提供一种，依法免税的供应商应提供相关文件证明）；</w:t>
      </w:r>
    </w:p>
    <w:p>
      <w:pPr>
        <w:pStyle w:val="null3"/>
      </w:pPr>
      <w:r>
        <w:rPr>
          <w:rFonts w:ascii="仿宋_GB2312" w:hAnsi="仿宋_GB2312" w:cs="仿宋_GB2312" w:eastAsia="仿宋_GB2312"/>
        </w:rPr>
        <w:t>5、社会保障资金缴纳证明：提供截止至开标时间前六个月内任意一个月的社保缴纳凭据或社保机构开具的社会保险参保缴纳情况证明；（依法不需要缴纳社会保障资金的供应商应提供相关证明）；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6、承诺书：提供具有履行本合同所必需的设备和专业技术能力的承诺；（提供承诺书，加盖供应商公章）；</w:t>
      </w:r>
    </w:p>
    <w:p>
      <w:pPr>
        <w:pStyle w:val="null3"/>
      </w:pPr>
      <w:r>
        <w:rPr>
          <w:rFonts w:ascii="仿宋_GB2312" w:hAnsi="仿宋_GB2312" w:cs="仿宋_GB2312" w:eastAsia="仿宋_GB2312"/>
        </w:rPr>
        <w:t>7、法定代表人身份证明和授权委托书：法定代表人授权委托书（附法定代表人身份证复印件及被授权人身份证复印件）；法定代表人直接参加磋商只须提供法定代表人资格证明书（附法定代表人身份证复印件）；</w:t>
      </w:r>
    </w:p>
    <w:p>
      <w:pPr>
        <w:pStyle w:val="null3"/>
      </w:pPr>
      <w:r>
        <w:rPr>
          <w:rFonts w:ascii="仿宋_GB2312" w:hAnsi="仿宋_GB2312" w:cs="仿宋_GB2312" w:eastAsia="仿宋_GB2312"/>
        </w:rPr>
        <w:t>8、三年内在经营活动中没有重大违法记录的书面声明：提供参加政府采购活动前三年内在经营活动中没有重大违法记录的书面声明。（提供书面声明，加盖供应商公章）；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9、提供《中小企业声明函》：本项目专门面向中小企业采购；须符合《政府采购促进中小企业发展管理办法》（财库〔2020〕46号）规定的中小企业参加。（提供《中小企业声明函》）；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10、信誉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由采购人在磋商响应截止日当天在“信用中国”网站和中国政府采购网站进行查询，截图留档；如网站无供应商信息的，供应商须提供相关证明资料或书面声明，装订在每份竞争性磋商响应文件中。）；</w:t>
      </w:r>
    </w:p>
    <w:p>
      <w:pPr>
        <w:pStyle w:val="null3"/>
      </w:pPr>
      <w:r>
        <w:rPr>
          <w:rFonts w:ascii="仿宋_GB2312" w:hAnsi="仿宋_GB2312" w:cs="仿宋_GB2312" w:eastAsia="仿宋_GB2312"/>
        </w:rPr>
        <w:t>11、单位负责人为同一人或者存在控股、管理关系的不同单位，不得同时参加同一招标项目投标，否则投标无效：单位负责人为同一人或者存在直接控股、管理关系的不同供应商，不得参加同一合同项下的政府采购活动。(根据财库【2019】38号文规定，由采购人在磋商响应截止日当天在“国家企业信用信息公示系统”网站进行查询，截图留档；如网站无供应商信息的，供应商须提供相关证明资料或承诺书，装订在每份竞争性磋商响应文件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蓝田县县城北街26号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18220007217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陕西浩璟盛腾项目管理有限公司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陕西省渭南市蒲城县陕西省渭南市蒲城县新城大道西段大明宫幸福城6号商铺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15609586398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西安市蓝田县住房和城乡建设局（本级）</w:t>
      </w:r>
      <w:r>
        <w:rPr>
          <w:rFonts w:ascii="仿宋_GB2312" w:hAnsi="仿宋_GB2312" w:cs="仿宋_GB2312" w:eastAsia="仿宋_GB2312"/>
        </w:rPr>
        <w:t>和</w:t>
      </w:r>
      <w:r>
        <w:rPr>
          <w:rFonts w:ascii="仿宋_GB2312" w:hAnsi="仿宋_GB2312" w:cs="仿宋_GB2312" w:eastAsia="仿宋_GB2312"/>
        </w:rPr>
        <w:t>陕西浩璟盛腾项目管理有限公司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陕西浩璟盛腾项目管理有限公司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陕西浩璟盛腾项目管理有限公司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项目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陕西浩璟盛腾项目管理有限公司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陕西浩璟盛腾项目管理有限公司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陕西浩璟盛腾项目管理有限公司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联系人：陈航</w:t>
      </w:r>
    </w:p>
    <w:p>
      <w:pPr>
        <w:pStyle w:val="null3"/>
      </w:pPr>
      <w:r>
        <w:rPr>
          <w:rFonts w:ascii="仿宋_GB2312" w:hAnsi="仿宋_GB2312" w:cs="仿宋_GB2312" w:eastAsia="仿宋_GB2312"/>
        </w:rPr>
        <w:t>联系电话：15609586398</w:t>
      </w:r>
    </w:p>
    <w:p>
      <w:pPr>
        <w:pStyle w:val="null3"/>
      </w:pPr>
      <w:r>
        <w:rPr>
          <w:rFonts w:ascii="仿宋_GB2312" w:hAnsi="仿宋_GB2312" w:cs="仿宋_GB2312" w:eastAsia="仿宋_GB2312"/>
        </w:rPr>
        <w:t>地址：陕西省渭南市蒲城县新城大道西段大明宫幸福城6号商铺</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蓝田县滋水路道路改造提升工程质量检测项目进行工程质量检测,包括原材以及施工过程的沥青混凝土检测，水稳碎石检测，路基回填检测，混凝土挡块检测等。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蓝田县滋水路道路改造提升工程检测项目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标的名称：蓝田县滋水路道路改造提升工程检测项目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720"/>
              <w:jc w:val="both"/>
            </w:pPr>
            <w:r>
              <w:rPr>
                <w:rFonts w:ascii="仿宋_GB2312" w:hAnsi="仿宋_GB2312" w:cs="仿宋_GB2312" w:eastAsia="仿宋_GB2312"/>
                <w:sz w:val="24"/>
              </w:rPr>
              <w:t>蓝田县滋水路道路改造提升工程质量检测项目</w:t>
            </w:r>
            <w:r>
              <w:rPr>
                <w:rFonts w:ascii="仿宋_GB2312" w:hAnsi="仿宋_GB2312" w:cs="仿宋_GB2312" w:eastAsia="仿宋_GB2312"/>
                <w:sz w:val="24"/>
              </w:rPr>
              <w:t>进</w:t>
            </w:r>
            <w:r>
              <w:rPr>
                <w:rFonts w:ascii="仿宋_GB2312" w:hAnsi="仿宋_GB2312" w:cs="仿宋_GB2312" w:eastAsia="仿宋_GB2312"/>
                <w:sz w:val="24"/>
              </w:rPr>
              <w:t>行工程质量检测</w:t>
            </w:r>
            <w:r>
              <w:rPr>
                <w:rFonts w:ascii="仿宋_GB2312" w:hAnsi="仿宋_GB2312" w:cs="仿宋_GB2312" w:eastAsia="仿宋_GB2312"/>
                <w:sz w:val="24"/>
              </w:rPr>
              <w:t>,包括原材以及施工过程的沥青混凝土检测，水稳碎石检测，路基回填检测，混凝土挡块检测等</w:t>
            </w:r>
            <w:r>
              <w:rPr>
                <w:rFonts w:ascii="仿宋_GB2312" w:hAnsi="仿宋_GB2312" w:cs="仿宋_GB2312" w:eastAsia="仿宋_GB2312"/>
                <w:sz w:val="24"/>
              </w:rPr>
              <w:t>。</w:t>
            </w:r>
          </w:p>
          <w:p>
            <w:pPr>
              <w:pStyle w:val="null3"/>
              <w:ind w:firstLine="720"/>
            </w:pPr>
            <w:r>
              <w:rPr>
                <w:rFonts w:ascii="仿宋_GB2312" w:hAnsi="仿宋_GB2312" w:cs="仿宋_GB2312" w:eastAsia="仿宋_GB2312"/>
                <w:sz w:val="21"/>
                <w:b/>
              </w:rPr>
              <w:t>二、检测内容</w:t>
            </w:r>
          </w:p>
          <w:p>
            <w:pPr>
              <w:pStyle w:val="null3"/>
              <w:ind w:firstLine="482"/>
              <w:jc w:val="both"/>
            </w:pPr>
            <w:r>
              <w:rPr>
                <w:rFonts w:ascii="仿宋_GB2312" w:hAnsi="仿宋_GB2312" w:cs="仿宋_GB2312" w:eastAsia="仿宋_GB2312"/>
                <w:sz w:val="24"/>
                <w:b/>
              </w:rPr>
              <w:t>检测项目的种类及检测频率等必须符合国家现行行业标准要求，包含且不限于以下附表内容。</w:t>
            </w:r>
          </w:p>
          <w:tbl>
            <w:tblPr>
              <w:tblBorders>
                <w:top w:val="none" w:color="000000" w:sz="4"/>
                <w:left w:val="none" w:color="000000" w:sz="4"/>
                <w:bottom w:val="none" w:color="000000" w:sz="4"/>
                <w:right w:val="none" w:color="000000" w:sz="4"/>
                <w:insideH w:val="none"/>
                <w:insideV w:val="none"/>
              </w:tblBorders>
            </w:tblPr>
            <w:tblGrid>
              <w:gridCol w:w="254"/>
              <w:gridCol w:w="438"/>
              <w:gridCol w:w="786"/>
              <w:gridCol w:w="647"/>
              <w:gridCol w:w="413"/>
            </w:tblGrid>
            <w:tr>
              <w:tc>
                <w:tcPr>
                  <w:tcW w:type="dxa" w:w="2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firstLine="231"/>
                    <w:jc w:val="center"/>
                  </w:pPr>
                  <w:r>
                    <w:rPr>
                      <w:rFonts w:ascii="仿宋_GB2312" w:hAnsi="仿宋_GB2312" w:cs="仿宋_GB2312" w:eastAsia="仿宋_GB2312"/>
                      <w:sz w:val="24"/>
                      <w:b/>
                      <w:color w:val="000000"/>
                    </w:rPr>
                    <w:t>序号</w:t>
                  </w:r>
                </w:p>
              </w:tc>
              <w:tc>
                <w:tcPr>
                  <w:tcW w:type="dxa" w:w="4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color w:val="000000"/>
                    </w:rPr>
                    <w:t>检测项目</w:t>
                  </w:r>
                </w:p>
              </w:tc>
              <w:tc>
                <w:tcPr>
                  <w:tcW w:type="dxa" w:w="7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915"/>
                    <w:jc w:val="center"/>
                  </w:pPr>
                  <w:r>
                    <w:rPr>
                      <w:rFonts w:ascii="仿宋_GB2312" w:hAnsi="仿宋_GB2312" w:cs="仿宋_GB2312" w:eastAsia="仿宋_GB2312"/>
                      <w:sz w:val="24"/>
                      <w:b/>
                      <w:color w:val="000000"/>
                    </w:rPr>
                    <w:t>检测参数</w:t>
                  </w:r>
                </w:p>
              </w:tc>
              <w:tc>
                <w:tcPr>
                  <w:tcW w:type="dxa" w:w="6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color w:val="000000"/>
                    </w:rPr>
                    <w:t>检测频率</w:t>
                  </w:r>
                </w:p>
              </w:tc>
              <w:tc>
                <w:tcPr>
                  <w:tcW w:type="dxa" w:w="4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firstLine="454"/>
                    <w:jc w:val="center"/>
                  </w:pPr>
                  <w:r>
                    <w:rPr>
                      <w:rFonts w:ascii="仿宋_GB2312" w:hAnsi="仿宋_GB2312" w:cs="仿宋_GB2312" w:eastAsia="仿宋_GB2312"/>
                      <w:sz w:val="24"/>
                      <w:b/>
                      <w:color w:val="000000"/>
                    </w:rPr>
                    <w:t>备注</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土工击实</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最大干密度、最佳含水率</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每批次</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素土、灰土</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2</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路基压实度</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压实度</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1000m²不少于3点</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环刀法</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3</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弯沉检测</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弯沉</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每公里</w:t>
                  </w:r>
                  <w:r>
                    <w:rPr>
                      <w:rFonts w:ascii="仿宋_GB2312" w:hAnsi="仿宋_GB2312" w:cs="仿宋_GB2312" w:eastAsia="仿宋_GB2312"/>
                      <w:sz w:val="24"/>
                      <w:color w:val="000000"/>
                    </w:rPr>
                    <w:t>/每车道80个点</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贝克曼梁法</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4</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石灰</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常规检测</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每批次</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灰剂量曲线</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灰剂量标准曲线</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土样、水泥或石灰发生变化时</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灰土、水稳</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6</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现场灰剂量</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现场灰剂量</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每批次</w:t>
                  </w:r>
                  <w:r>
                    <w:rPr>
                      <w:rFonts w:ascii="仿宋_GB2312" w:hAnsi="仿宋_GB2312" w:cs="仿宋_GB2312" w:eastAsia="仿宋_GB2312"/>
                      <w:sz w:val="24"/>
                      <w:color w:val="000000"/>
                    </w:rPr>
                    <w:t>/每工序</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水稳压实度</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压实度</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1000m²不少于1点</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灌砂法</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8</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无侧限抗压强度</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无侧限抗压强度</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2000m²不少于1组</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水泥</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常规检测</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袋装水泥</w:t>
                  </w:r>
                  <w:r>
                    <w:rPr>
                      <w:rFonts w:ascii="仿宋_GB2312" w:hAnsi="仿宋_GB2312" w:cs="仿宋_GB2312" w:eastAsia="仿宋_GB2312"/>
                      <w:sz w:val="24"/>
                      <w:color w:val="000000"/>
                    </w:rPr>
                    <w:t>200t不少于一组，散装水泥500t</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砂</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常规检测</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2000m³</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石</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常规检测</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2000m³</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砂浆</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抗压强度</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250m³一组</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砖</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常规检测</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10万块</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烧结砖、多孔砖</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14</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混凝土</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抗压强度、抗渗性能</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抗压强度，</w:t>
                  </w:r>
                  <w:r>
                    <w:rPr>
                      <w:rFonts w:ascii="仿宋_GB2312" w:hAnsi="仿宋_GB2312" w:cs="仿宋_GB2312" w:eastAsia="仿宋_GB2312"/>
                      <w:sz w:val="24"/>
                      <w:color w:val="000000"/>
                    </w:rPr>
                    <w:t>100m³一组</w:t>
                  </w:r>
                </w:p>
                <w:p>
                  <w:pPr>
                    <w:pStyle w:val="null3"/>
                    <w:spacing w:before="240"/>
                    <w:jc w:val="center"/>
                  </w:pPr>
                  <w:r>
                    <w:rPr>
                      <w:rFonts w:ascii="仿宋_GB2312" w:hAnsi="仿宋_GB2312" w:cs="仿宋_GB2312" w:eastAsia="仿宋_GB2312"/>
                      <w:sz w:val="24"/>
                      <w:color w:val="000000"/>
                    </w:rPr>
                    <w:t>抗渗性能，</w:t>
                  </w:r>
                  <w:r>
                    <w:rPr>
                      <w:rFonts w:ascii="仿宋_GB2312" w:hAnsi="仿宋_GB2312" w:cs="仿宋_GB2312" w:eastAsia="仿宋_GB2312"/>
                      <w:sz w:val="24"/>
                      <w:color w:val="000000"/>
                    </w:rPr>
                    <w:t>500m³一组</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钢材</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拉伸、弯曲性能</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60t/每批次一组</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16</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路面平整度</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平整度</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全段线路</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17</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路面厚度</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路面厚度</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1000m²不少于1点</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18</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路面压实度</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压实度</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1000m²不少于1点</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取芯法</w:t>
                  </w: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19</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沥青混凝土</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沥青混合料抽提</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每批次</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沥青混凝土</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沥青混合料矿料级配</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每批次</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r>
              <w:tc>
                <w:tcPr>
                  <w:tcW w:type="dxa" w:w="2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21</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沥青混凝土</w:t>
                  </w:r>
                </w:p>
              </w:tc>
              <w:tc>
                <w:tcPr>
                  <w:tcW w:type="dxa" w:w="7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沥青混合料矿料马歇尔</w:t>
                  </w:r>
                </w:p>
              </w:tc>
              <w:tc>
                <w:tcPr>
                  <w:tcW w:type="dxa" w:w="6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每批次</w:t>
                  </w:r>
                </w:p>
              </w:tc>
              <w:tc>
                <w:tcPr>
                  <w:tcW w:type="dxa" w:w="4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p>
              </w:tc>
            </w:tr>
          </w:tbl>
          <w:p>
            <w:pPr>
              <w:pStyle w:val="null3"/>
              <w:jc w:val="both"/>
            </w:pPr>
            <w:r>
              <w:rPr>
                <w:rFonts w:ascii="仿宋_GB2312" w:hAnsi="仿宋_GB2312" w:cs="仿宋_GB2312" w:eastAsia="仿宋_GB2312"/>
                <w:sz w:val="24"/>
                <w:b/>
              </w:rPr>
              <w:t>三、技术要求</w:t>
            </w:r>
          </w:p>
          <w:p>
            <w:pPr>
              <w:pStyle w:val="null3"/>
              <w:ind w:firstLine="240"/>
              <w:jc w:val="both"/>
            </w:pPr>
            <w:r>
              <w:rPr>
                <w:rFonts w:ascii="仿宋_GB2312" w:hAnsi="仿宋_GB2312" w:cs="仿宋_GB2312" w:eastAsia="仿宋_GB2312"/>
                <w:sz w:val="24"/>
              </w:rPr>
              <w:t>按照相关检测规范、规定检验，并提供检测报告。</w:t>
            </w:r>
          </w:p>
          <w:p>
            <w:pPr>
              <w:pStyle w:val="null3"/>
              <w:ind w:firstLine="240"/>
              <w:jc w:val="both"/>
            </w:pPr>
            <w:r>
              <w:rPr>
                <w:rFonts w:ascii="仿宋_GB2312" w:hAnsi="仿宋_GB2312" w:cs="仿宋_GB2312" w:eastAsia="仿宋_GB2312"/>
                <w:sz w:val="24"/>
              </w:rPr>
              <w:t>检测依据（包括但不限于以下内容）：</w:t>
            </w:r>
          </w:p>
          <w:p>
            <w:pPr>
              <w:pStyle w:val="null3"/>
              <w:ind w:firstLine="240"/>
              <w:jc w:val="both"/>
            </w:pPr>
            <w:r>
              <w:rPr>
                <w:rFonts w:ascii="仿宋_GB2312" w:hAnsi="仿宋_GB2312" w:cs="仿宋_GB2312" w:eastAsia="仿宋_GB2312"/>
                <w:sz w:val="24"/>
              </w:rPr>
              <w:t>1.相关技术规范；</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.《建设工程质量检测管理办法》（2015修正）；</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.《房屋建筑和市政基础设施工程质量检测技术管理规范》（GB50618-2011）；</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.《建筑工程质量统一验收标准》GB50300-2018；</w:t>
            </w:r>
          </w:p>
          <w:p>
            <w:pPr>
              <w:pStyle w:val="null3"/>
              <w:ind w:firstLine="240"/>
              <w:jc w:val="both"/>
            </w:pPr>
            <w:r>
              <w:rPr>
                <w:rFonts w:ascii="仿宋_GB2312" w:hAnsi="仿宋_GB2312" w:cs="仿宋_GB2312" w:eastAsia="仿宋_GB2312"/>
                <w:sz w:val="24"/>
              </w:rPr>
              <w:t>5.《工程质量监督导则》(建质(2003)162号)；</w:t>
            </w:r>
          </w:p>
          <w:p>
            <w:pPr>
              <w:pStyle w:val="null3"/>
              <w:ind w:firstLine="240"/>
              <w:jc w:val="both"/>
            </w:pPr>
            <w:r>
              <w:rPr>
                <w:rFonts w:ascii="仿宋_GB2312" w:hAnsi="仿宋_GB2312" w:cs="仿宋_GB2312" w:eastAsia="仿宋_GB2312"/>
                <w:sz w:val="24"/>
              </w:rPr>
              <w:t>6.陕西省建设工程质量安全监督总站关于印发《建设工程检测质量监督指导意见》的通知（陕质监发(2022)7号）</w:t>
            </w:r>
          </w:p>
          <w:p>
            <w:pPr>
              <w:pStyle w:val="null3"/>
              <w:ind w:left="300"/>
              <w:jc w:val="both"/>
            </w:pPr>
            <w:r>
              <w:rPr>
                <w:rFonts w:ascii="仿宋_GB2312" w:hAnsi="仿宋_GB2312" w:cs="仿宋_GB2312" w:eastAsia="仿宋_GB2312"/>
                <w:sz w:val="24"/>
              </w:rPr>
              <w:t>7.陕西省住房和城乡建设厅关于推进工程质量检测信息化管理的通知（陕建质发〔2022]77号）</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240"/>
              <w:jc w:val="both"/>
            </w:pPr>
            <w:r>
              <w:rPr>
                <w:rFonts w:ascii="仿宋_GB2312" w:hAnsi="仿宋_GB2312" w:cs="仿宋_GB2312" w:eastAsia="仿宋_GB2312"/>
                <w:sz w:val="24"/>
              </w:rPr>
              <w:t>1.根据采购方的</w:t>
            </w:r>
            <w:r>
              <w:rPr>
                <w:rFonts w:ascii="仿宋_GB2312" w:hAnsi="仿宋_GB2312" w:cs="仿宋_GB2312" w:eastAsia="仿宋_GB2312"/>
                <w:sz w:val="24"/>
              </w:rPr>
              <w:t>安排</w:t>
            </w:r>
            <w:r>
              <w:rPr>
                <w:rFonts w:ascii="仿宋_GB2312" w:hAnsi="仿宋_GB2312" w:cs="仿宋_GB2312" w:eastAsia="仿宋_GB2312"/>
                <w:sz w:val="24"/>
              </w:rPr>
              <w:t>随时安排人员进场检测。</w:t>
            </w:r>
          </w:p>
          <w:p>
            <w:pPr>
              <w:pStyle w:val="null3"/>
              <w:ind w:firstLine="240"/>
              <w:jc w:val="both"/>
            </w:pPr>
            <w:r>
              <w:rPr>
                <w:rFonts w:ascii="仿宋_GB2312" w:hAnsi="仿宋_GB2312" w:cs="仿宋_GB2312" w:eastAsia="仿宋_GB2312"/>
                <w:sz w:val="24"/>
              </w:rPr>
              <w:t>人员要求：人员包含</w:t>
            </w:r>
            <w:r>
              <w:rPr>
                <w:rFonts w:ascii="仿宋_GB2312" w:hAnsi="仿宋_GB2312" w:cs="仿宋_GB2312" w:eastAsia="仿宋_GB2312"/>
                <w:sz w:val="24"/>
              </w:rPr>
              <w:t>项目负责人、技术负责人、试验检测工程师、试验检测人员</w:t>
            </w:r>
            <w:r>
              <w:rPr>
                <w:rFonts w:ascii="仿宋_GB2312" w:hAnsi="仿宋_GB2312" w:cs="仿宋_GB2312" w:eastAsia="仿宋_GB2312"/>
                <w:sz w:val="24"/>
              </w:rPr>
              <w:t>等。</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质量要求及目标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(1)质量要求：符合国家有关现行规范、标准的要求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2）严格履行合同，履约率100％；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3）以正确的检测方法，先进科学的检测手段提供准确、可靠的检测结果。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按照采购文件及采购合同要求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自合同签订后一年内完成（具体以合同签订时间为准）。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西安市蓝田县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应满足国家标准，行业标准及采购人需求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工程施工完成过半时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待检测报告等资料完善并达到存档要求后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具有建设行政主管部门颁发的建设工程质量检测机构资质证书（市政道路工程检测资质）；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(2022年-2024年）财务审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供截止至开标时间前一年（2024年）内任意一个月的税收缴纳凭据；（增值税、企业所得税至少提供一种，依法免税的供应商应提供相关文件证明）；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提供具有履行本合同所必需的设备和专业技术能力的承诺；（提供承诺书，加盖供应商公章）；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法定代表人身份证明和授权委托书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w:t>
            </w:r>
          </w:p>
        </w:tc>
        <w:tc>
          <w:tcPr>
            <w:tcW w:type="dxa" w:w="1661"/>
          </w:tcPr>
          <w:p>
            <w:pPr>
              <w:pStyle w:val="null3"/>
            </w:pPr>
            <w:r>
              <w:rPr>
                <w:rFonts w:ascii="仿宋_GB2312" w:hAnsi="仿宋_GB2312" w:cs="仿宋_GB2312" w:eastAsia="仿宋_GB2312"/>
              </w:rPr>
              <w:t>法定代表人授权书（1）.docx 供应商应提交的相关资格证明材料 法定代表人证明书（1）.pdf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由采购人在磋商响应截止日当天在“信用中国”网站和中国政府采购网站进行查询，截图留档；如网站无供应商信息的，供应商须提供相关证明资料或书面声明，装订在每份竞争性磋商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单位负责人为同一人或者存在控股、管理关系的不同单位，不得同时参加同一招标项目投标，否则投标无效</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由采购人在磋商响应截止日当天在“国家企业信用信息公示系统”网站进行查询，截图留档；如网站无供应商信息的，供应商须提供相关证明资料或承诺书，装订在每份竞争性磋商响应文件中。）</w:t>
            </w:r>
          </w:p>
        </w:tc>
        <w:tc>
          <w:tcPr>
            <w:tcW w:type="dxa" w:w="1661"/>
          </w:tcPr>
          <w:p>
            <w:pPr>
              <w:pStyle w:val="null3"/>
            </w:pPr>
            <w:r>
              <w:rPr>
                <w:rFonts w:ascii="仿宋_GB2312" w:hAnsi="仿宋_GB2312" w:cs="仿宋_GB2312" w:eastAsia="仿宋_GB2312"/>
              </w:rPr>
              <w:t>其他证明文件（1）.docx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提供2022年至今类似项目业绩，业绩以中标通知书或合同为准（以合同签订时间为准），提供一份计2分，满分10分。 注：以上证明文件在磋商响应文件中附业绩合同或中标通知书扫描件并加盖公司公章。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近年完成的类似项目情况（1）.docx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检测服务进度保障措施</w:t>
            </w:r>
          </w:p>
        </w:tc>
        <w:tc>
          <w:tcPr>
            <w:tcW w:type="dxa" w:w="2492"/>
          </w:tcPr>
          <w:p>
            <w:pPr>
              <w:pStyle w:val="null3"/>
            </w:pPr>
            <w:r>
              <w:rPr>
                <w:rFonts w:ascii="仿宋_GB2312" w:hAnsi="仿宋_GB2312" w:cs="仿宋_GB2312" w:eastAsia="仿宋_GB2312"/>
              </w:rPr>
              <w:t>确保检测服务进度保障措施，本项满分8分；措施描述完整、可操作性强、细节描述详细优越的计5.1-8（含）分；有相对的操作性，描述良好计3.1-5分；内容一般的计0-3（含）分。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项目负责人具有类似工程类相关专业高级及以上职称得2分，具有工程类相关专业工程师的得1分。 注：项目负责人须在本单位缴纳社保，并提供社保缴纳证明材料（加盖单位公章）。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人员设置及人员分工</w:t>
            </w:r>
          </w:p>
        </w:tc>
        <w:tc>
          <w:tcPr>
            <w:tcW w:type="dxa" w:w="2492"/>
          </w:tcPr>
          <w:p>
            <w:pPr>
              <w:pStyle w:val="null3"/>
            </w:pPr>
            <w:r>
              <w:rPr>
                <w:rFonts w:ascii="仿宋_GB2312" w:hAnsi="仿宋_GB2312" w:cs="仿宋_GB2312" w:eastAsia="仿宋_GB2312"/>
              </w:rPr>
              <w:t>有完善的管理体系，针对本项目的实施组织机构、人员安排有具体方案，分工合理、责任明确，能确保项目顺利实施，按其响应程度计1-6分，未提供不得分；（项目组团队人员需提供人员身份证及证书扫描件或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检测仪器设备情况</w:t>
            </w:r>
          </w:p>
        </w:tc>
        <w:tc>
          <w:tcPr>
            <w:tcW w:type="dxa" w:w="2492"/>
          </w:tcPr>
          <w:p>
            <w:pPr>
              <w:pStyle w:val="null3"/>
            </w:pPr>
            <w:r>
              <w:rPr>
                <w:rFonts w:ascii="仿宋_GB2312" w:hAnsi="仿宋_GB2312" w:cs="仿宋_GB2312" w:eastAsia="仿宋_GB2312"/>
              </w:rPr>
              <w:t>根据供应商拟投入的检测仪器设备情况进行赋分，本项满分10分；设备配备合理，先进性、安全性及稳定性强计7.1-10分；配备较合理，先进性、安全性及稳定性较强计4.1-7分；配备一般，先进性、安全性及稳定性一般计0-4（含）分； 注：以磋商响应文件中所附检测设备的主要检测仪器设备原始发票或租赁意向书或带有生效条件的租赁合同复印件或仪器设备检定证书或校准证书为准。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根据供应商对本项目后期服务作出相关售后服务承诺，承诺各管理项目指标达到国家相关标准、不能完全履行服务承诺时接受处罚等情况做出实质性承诺，本项满分10分内容评分： 第一档：承诺内容全面、明确，完全符合本项目的得5.1-10分； 第二档：承诺内容欠缺、不明确，基本符合本项目的得 1-5分，未提供者不得分。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测实施方案，本项满分12分；方案完整、可操作性强、细节考虑到位的计8.1-12（含）分；方案基本完整，有相对的可操作性，描述良好的计4.1-8分；方案描述符合磋商文件要求，内容一般的计0-4（含）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服务质量的技术组织措施</w:t>
            </w:r>
          </w:p>
        </w:tc>
        <w:tc>
          <w:tcPr>
            <w:tcW w:type="dxa" w:w="2492"/>
          </w:tcPr>
          <w:p>
            <w:pPr>
              <w:pStyle w:val="null3"/>
            </w:pPr>
            <w:r>
              <w:rPr>
                <w:rFonts w:ascii="仿宋_GB2312" w:hAnsi="仿宋_GB2312" w:cs="仿宋_GB2312" w:eastAsia="仿宋_GB2312"/>
              </w:rPr>
              <w:t>确保本项目服务质量的技术组织措施，包含但不限于质量控制措施、检测报告的准确性、符合国家相关标准规范的相关要求，本项满分10分；措施描述完整、可操作性强、细节描述详细优越的计7.1-10（含）分；有相对的操作性，描述良好的计4.1-7（含）分；内容一般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有完善的工程质量检测制度、检验档案管理制度及责任追究等管理制度，根据响应内容程度计0-3分,本项满分3分。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有健全的突发事件处理机制和应急方案，应急方案详细并且符合本项目实际情况，针对性强得5.1-9分，有突发事件处理机制和应急方案且符合本项目实际情况，针对性不强得 1-5 分。不提供不得分。（满分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详见附件：法定代表人授权书（1）.docx</w:t>
      </w:r>
    </w:p>
    <w:p>
      <w:pPr>
        <w:pStyle w:val="null3"/>
        <w:ind w:firstLine="960"/>
      </w:pPr>
      <w:r>
        <w:rPr>
          <w:rFonts w:ascii="仿宋_GB2312" w:hAnsi="仿宋_GB2312" w:cs="仿宋_GB2312" w:eastAsia="仿宋_GB2312"/>
        </w:rPr>
        <w:t>详见附件：法定代表人证明书（1）.pdf</w:t>
      </w:r>
    </w:p>
    <w:p>
      <w:pPr>
        <w:pStyle w:val="null3"/>
        <w:ind w:firstLine="960"/>
      </w:pPr>
      <w:r>
        <w:rPr>
          <w:rFonts w:ascii="仿宋_GB2312" w:hAnsi="仿宋_GB2312" w:cs="仿宋_GB2312" w:eastAsia="仿宋_GB2312"/>
        </w:rPr>
        <w:t>详见附件：近年完成的类似项目情况（1）.docx</w:t>
      </w:r>
    </w:p>
    <w:p>
      <w:pPr>
        <w:pStyle w:val="null3"/>
        <w:ind w:firstLine="960"/>
      </w:pPr>
      <w:r>
        <w:rPr>
          <w:rFonts w:ascii="仿宋_GB2312" w:hAnsi="仿宋_GB2312" w:cs="仿宋_GB2312" w:eastAsia="仿宋_GB2312"/>
        </w:rPr>
        <w:t>详见附件：其他证明文件（1）.docx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