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6E6CD">
      <w:pPr>
        <w:keepNext w:val="0"/>
        <w:keepLines w:val="0"/>
        <w:pageBreakBefore w:val="0"/>
        <w:widowControl w:val="0"/>
        <w:kinsoku/>
        <w:wordWrap/>
        <w:overflowPunct/>
        <w:topLinePunct w:val="0"/>
        <w:autoSpaceDE/>
        <w:autoSpaceDN/>
        <w:bidi w:val="0"/>
        <w:adjustRightInd/>
        <w:snapToGrid w:val="0"/>
        <w:spacing w:line="288" w:lineRule="auto"/>
        <w:jc w:val="center"/>
        <w:textAlignment w:val="auto"/>
        <w:rPr>
          <w:rFonts w:hint="eastAsia"/>
          <w:b/>
          <w:bCs/>
          <w:sz w:val="30"/>
          <w:szCs w:val="30"/>
        </w:rPr>
      </w:pPr>
      <w:r>
        <w:rPr>
          <w:rFonts w:hint="eastAsia"/>
          <w:b/>
          <w:bCs/>
          <w:sz w:val="30"/>
          <w:szCs w:val="30"/>
        </w:rPr>
        <w:t xml:space="preserve"> 小寨镇余家沟村革命老区项目</w:t>
      </w:r>
    </w:p>
    <w:p w14:paraId="3839507F">
      <w:pPr>
        <w:keepNext w:val="0"/>
        <w:keepLines w:val="0"/>
        <w:pageBreakBefore w:val="0"/>
        <w:widowControl w:val="0"/>
        <w:kinsoku/>
        <w:wordWrap/>
        <w:overflowPunct/>
        <w:topLinePunct w:val="0"/>
        <w:autoSpaceDE/>
        <w:autoSpaceDN/>
        <w:bidi w:val="0"/>
        <w:adjustRightInd/>
        <w:snapToGrid w:val="0"/>
        <w:spacing w:line="288" w:lineRule="auto"/>
        <w:jc w:val="center"/>
        <w:textAlignment w:val="auto"/>
        <w:rPr>
          <w:rFonts w:hint="eastAsia"/>
          <w:b/>
          <w:bCs/>
          <w:sz w:val="30"/>
          <w:szCs w:val="30"/>
        </w:rPr>
      </w:pPr>
      <w:r>
        <w:rPr>
          <w:rFonts w:hint="eastAsia"/>
          <w:b/>
          <w:bCs/>
          <w:sz w:val="30"/>
          <w:szCs w:val="30"/>
        </w:rPr>
        <w:t>清单编制说明</w:t>
      </w:r>
    </w:p>
    <w:p w14:paraId="0DE157ED">
      <w:pPr>
        <w:numPr>
          <w:ilvl w:val="0"/>
          <w:numId w:val="1"/>
        </w:numPr>
        <w:spacing w:line="36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工程概况</w:t>
      </w:r>
    </w:p>
    <w:p w14:paraId="019F1800">
      <w:pPr>
        <w:numPr>
          <w:ilvl w:val="0"/>
          <w:numId w:val="2"/>
        </w:numPr>
        <w:spacing w:line="36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工程名称：小寨镇余家沟村革命老区项目</w:t>
      </w:r>
    </w:p>
    <w:p w14:paraId="2FBE7BE4">
      <w:pPr>
        <w:numPr>
          <w:ilvl w:val="0"/>
          <w:numId w:val="2"/>
        </w:numPr>
        <w:spacing w:line="36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建设地点：蓝田县小寨镇余家沟村</w:t>
      </w:r>
    </w:p>
    <w:p w14:paraId="62B8D22E">
      <w:pPr>
        <w:numPr>
          <w:ilvl w:val="0"/>
          <w:numId w:val="2"/>
        </w:numPr>
        <w:spacing w:line="360" w:lineRule="auto"/>
        <w:ind w:left="0" w:leftChars="0"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招标范围：小寨镇余家沟村革命老区项目古戏楼建设，建筑面积 147.23 ㎡，包含主体结构工程、装饰装修工程、电气工程、给排水工程、仿古工程、室外总体工程。</w:t>
      </w:r>
    </w:p>
    <w:p w14:paraId="4B9C5B65">
      <w:pPr>
        <w:numPr>
          <w:ilvl w:val="0"/>
          <w:numId w:val="1"/>
        </w:numPr>
        <w:spacing w:line="360" w:lineRule="auto"/>
        <w:ind w:left="0" w:leftChars="0"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编制依据</w:t>
      </w:r>
    </w:p>
    <w:p w14:paraId="7236B60E">
      <w:pPr>
        <w:numPr>
          <w:numId w:val="0"/>
        </w:numPr>
        <w:spacing w:line="36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1.《陕西省建设工程费用规则》(2025)；</w:t>
      </w:r>
    </w:p>
    <w:p w14:paraId="74CC8BA8">
      <w:pPr>
        <w:numPr>
          <w:numId w:val="0"/>
        </w:numPr>
        <w:spacing w:line="36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2.《陕西省建设工程工程量清单计价标准》(2025)；</w:t>
      </w:r>
    </w:p>
    <w:p w14:paraId="0AFFBDAB">
      <w:pPr>
        <w:numPr>
          <w:numId w:val="0"/>
        </w:numPr>
        <w:spacing w:line="36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3.《陕西省房屋建筑与装饰工程消耗量定额》(2025)；</w:t>
      </w:r>
    </w:p>
    <w:p w14:paraId="3CF0F1DD">
      <w:pPr>
        <w:numPr>
          <w:numId w:val="0"/>
        </w:numPr>
        <w:spacing w:line="36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4.《陕西省通用安装工程消耗量定额》(2025)；</w:t>
      </w:r>
    </w:p>
    <w:p w14:paraId="685B34EE">
      <w:pPr>
        <w:numPr>
          <w:numId w:val="0"/>
        </w:numPr>
        <w:spacing w:line="36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5.《陕西市政工程消耗量定额》(2025)；</w:t>
      </w:r>
    </w:p>
    <w:p w14:paraId="231D73B5">
      <w:pPr>
        <w:numPr>
          <w:numId w:val="0"/>
        </w:numPr>
        <w:spacing w:line="36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 相关配套文件等。</w:t>
      </w:r>
    </w:p>
    <w:p w14:paraId="290C18FD">
      <w:pPr>
        <w:numPr>
          <w:numId w:val="0"/>
        </w:numPr>
        <w:spacing w:line="36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2、本工程施工图及招标工程量清单；</w:t>
      </w:r>
    </w:p>
    <w:p w14:paraId="5D252F93">
      <w:pPr>
        <w:numPr>
          <w:numId w:val="0"/>
        </w:numPr>
        <w:spacing w:line="36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3、与建设工程项目有关的标准（包括标准图集）、规范、技术资料；</w:t>
      </w:r>
    </w:p>
    <w:p w14:paraId="135D0E46">
      <w:pPr>
        <w:numPr>
          <w:numId w:val="0"/>
        </w:numPr>
        <w:spacing w:line="36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4、招标文件以及补充通知、答疑纪要；</w:t>
      </w:r>
    </w:p>
    <w:p w14:paraId="4F71E683">
      <w:pPr>
        <w:numPr>
          <w:numId w:val="0"/>
        </w:numPr>
        <w:spacing w:line="36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5、其他有关文件、资料。</w:t>
      </w:r>
    </w:p>
    <w:p w14:paraId="1C56897B">
      <w:pPr>
        <w:numPr>
          <w:numId w:val="0"/>
        </w:numPr>
        <w:spacing w:line="36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三、需要说明的其他问题</w:t>
      </w:r>
      <w:bookmarkStart w:id="0" w:name="_GoBack"/>
      <w:bookmarkEnd w:id="0"/>
    </w:p>
    <w:p w14:paraId="3B03E640">
      <w:pPr>
        <w:numPr>
          <w:numId w:val="0"/>
        </w:numPr>
        <w:spacing w:line="36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1、投标人在报价时应按《陕西省建设工程费用规则》(2025)规定的统一格式。投标方应在投标同时提供上述表格的PDF电子文档及相应计价软件版本。</w:t>
      </w:r>
    </w:p>
    <w:p w14:paraId="73AFE238">
      <w:pPr>
        <w:numPr>
          <w:numId w:val="0"/>
        </w:numPr>
        <w:spacing w:line="36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2、工程量清单综合单价应包括所需人工费、材料费、施工机具使用费、企业管理费、利润以及一定范围内的风险费用等。</w:t>
      </w:r>
    </w:p>
    <w:p w14:paraId="05F41E59">
      <w:pPr>
        <w:numPr>
          <w:numId w:val="0"/>
        </w:numPr>
        <w:spacing w:line="36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3、本工程税率按增值税计取，增值税税率为9%。</w:t>
      </w:r>
    </w:p>
    <w:p w14:paraId="64929BB3">
      <w:pPr>
        <w:numPr>
          <w:numId w:val="0"/>
        </w:numPr>
        <w:spacing w:line="36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4、本次招标中安全文明施工费、税金为不可竞争性费用，须按招标人提供的工程量清单中给定的费率报价。</w:t>
      </w:r>
    </w:p>
    <w:p w14:paraId="46971145">
      <w:pPr>
        <w:numPr>
          <w:numId w:val="0"/>
        </w:numPr>
        <w:spacing w:line="36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5、投标人应按本项目实施内容结合施工现场实际情况，在措施项目中填报施工本工程所需措施及发生的相关措施费，未填报的措施费视为已分摊在各项目的报价中。</w:t>
      </w:r>
    </w:p>
    <w:p w14:paraId="59B52685">
      <w:pPr>
        <w:numPr>
          <w:numId w:val="0"/>
        </w:numPr>
        <w:spacing w:line="36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6、所有需二次深化设计的单位工程或分部分项工程，需投标单位在投标报价时综合考虑二次设计费。</w:t>
      </w:r>
    </w:p>
    <w:p w14:paraId="0E0F666A">
      <w:pPr>
        <w:numPr>
          <w:numId w:val="0"/>
        </w:numPr>
        <w:spacing w:line="36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本项目混凝土采用商品混凝土时，投标报价时综合单价中包括但不限于混凝土的购置、运输、泵送、浇捣、养护等费用。混凝土浇筑方式由投标单位根据现场实际及设计和规范要求综合确定，并在报价中综合考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B16C78"/>
    <w:multiLevelType w:val="singleLevel"/>
    <w:tmpl w:val="A6B16C78"/>
    <w:lvl w:ilvl="0" w:tentative="0">
      <w:start w:val="1"/>
      <w:numFmt w:val="decimal"/>
      <w:suff w:val="nothing"/>
      <w:lvlText w:val="%1、"/>
      <w:lvlJc w:val="left"/>
    </w:lvl>
  </w:abstractNum>
  <w:abstractNum w:abstractNumId="1">
    <w:nsid w:val="792A19DE"/>
    <w:multiLevelType w:val="singleLevel"/>
    <w:tmpl w:val="792A19DE"/>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80551C"/>
    <w:rsid w:val="328055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6</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2025-07-22T10:00:00Z</dcterms:created>
  <dc:creator>春暖花开</dc:creator>
  <cp:lastModifiedBy>春暖花开</cp:lastModifiedBy>
  <dcterms:modified xsi:type="dcterms:W3CDTF">2025-07-22T10:06:59Z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A8B3387E52DB4D2780BADAD71CAB63EE_11</vt:lpwstr>
  </property>
  <property fmtid="{D5CDD505-2E9C-101B-9397-08002B2CF9AE}" pid="4" name="KSOTemplateDocerSaveRecord">
    <vt:lpwstr>eyJoZGlkIjoiMzFjNzU1ODY4ZGI4MDUwMjJkMjdlNjc5ZjQ4NTEwMjkiLCJ1c2VySWQiOiI1MjYwNTY5NzEifQ==</vt:lpwstr>
  </property>
</Properties>
</file>