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版本号：HCGJZC-081320250912002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秦岭生态环境保护监测及森林资源管护项目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HCGJZC-0813</w:t>
      </w:r>
      <w:r>
        <w:br/>
      </w:r>
      <w:r>
        <w:br/>
      </w:r>
      <w:r>
        <w:br/>
      </w:r>
    </w:p>
    <w:p>
      <w:pPr>
        <w:pStyle w:val="null3"/>
        <w:jc w:val="center"/>
        <w:outlineLvl w:val="2"/>
      </w:pPr>
      <w:r>
        <w:rPr>
          <w:rFonts w:ascii="仿宋_GB2312" w:hAnsi="仿宋_GB2312" w:cs="仿宋_GB2312" w:eastAsia="仿宋_GB2312"/>
          <w:sz w:val="28"/>
          <w:b/>
        </w:rPr>
        <w:t>西安市蓝田县林业局（本级）</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西安市蓝田县林业局（本级）</w:t>
      </w:r>
      <w:r>
        <w:rPr>
          <w:rFonts w:ascii="仿宋_GB2312" w:hAnsi="仿宋_GB2312" w:cs="仿宋_GB2312" w:eastAsia="仿宋_GB2312"/>
        </w:rPr>
        <w:t>委托，拟对</w:t>
      </w:r>
      <w:r>
        <w:rPr>
          <w:rFonts w:ascii="仿宋_GB2312" w:hAnsi="仿宋_GB2312" w:cs="仿宋_GB2312" w:eastAsia="仿宋_GB2312"/>
        </w:rPr>
        <w:t>秦岭生态环境保护监测及森林资源管护项目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HCGJZC-0813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秦岭生态环境保护监测及森林资源管护项目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立固定无人机库，培训人员敦练掌握无人机，进行巡林管护，通过无人机信息处理电脑实现对全县森林资源的精细化、管理。；主要功能或目标：建立覆盖全县林区范围的无人机巡查体系，实现无人机巡林，实现“互联网+资源监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良好的商业信誉和健全的财务会计制度：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pPr>
        <w:pStyle w:val="null3"/>
      </w:pPr>
      <w:r>
        <w:rPr>
          <w:rFonts w:ascii="仿宋_GB2312" w:hAnsi="仿宋_GB2312" w:cs="仿宋_GB2312" w:eastAsia="仿宋_GB2312"/>
        </w:rPr>
        <w:t>3、有依法缴纳税收的良好记录：提供投标截止时间前一年内已缴纳的至少一个月纳税证明或完税证明，依法免税的单位应提供相关证明材料；</w:t>
      </w:r>
    </w:p>
    <w:p>
      <w:pPr>
        <w:pStyle w:val="null3"/>
      </w:pPr>
      <w:r>
        <w:rPr>
          <w:rFonts w:ascii="仿宋_GB2312" w:hAnsi="仿宋_GB2312" w:cs="仿宋_GB2312" w:eastAsia="仿宋_GB2312"/>
        </w:rPr>
        <w:t>4、有依法社会保障资金的良好记录：提供投标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信用信息：供应商未被列入信用中国网站(www.creditchina.gov.cn)“失信被执行人、重大税收违法案件当事人名单”；不处于中国政府采购(www.ccgp.gov.cn)“政府采购严重违法失信行为信息记录”中的禁止参加政府采购活动期间；</w:t>
      </w:r>
    </w:p>
    <w:p>
      <w:pPr>
        <w:pStyle w:val="null3"/>
      </w:pPr>
      <w:r>
        <w:rPr>
          <w:rFonts w:ascii="仿宋_GB2312" w:hAnsi="仿宋_GB2312" w:cs="仿宋_GB2312" w:eastAsia="仿宋_GB2312"/>
        </w:rPr>
        <w:t>8、法定代表人授权书/法人身份证：法定代表人授权书（附法定代表人、被授权人身份证复印件）及被授权人身份证（法定代表人参加投标只需提供本人身份证）；</w:t>
      </w:r>
    </w:p>
    <w:p>
      <w:pPr>
        <w:pStyle w:val="null3"/>
      </w:pPr>
      <w:r>
        <w:rPr>
          <w:rFonts w:ascii="仿宋_GB2312" w:hAnsi="仿宋_GB2312" w:cs="仿宋_GB2312" w:eastAsia="仿宋_GB2312"/>
        </w:rPr>
        <w:t>9、控股管理关系：单位负责人为同一人或者存在直接控股、管理关系的不同单位，不得参加同一项下的政府采购活动；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西安市蓝田县林业局（本级）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蓝田县向阳路12号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郝景润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029-82751244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15129028932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按照国家计委颁布《招标代理服务收费管理暂行办法》（计价格[2002]1980号）和国家发展和改革委员会办公厅颁发的《关于招标代理服务收费有关问题的通知》（发改办价格[2003]857号）文件规定执行，不足8千的按8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西安市蓝田县林业局（本级）</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西安市蓝田县林业局（本级）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西安市蓝田县林业局（本级）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红城国际工程项目管理有限公司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联系人：梁思源</w:t>
      </w:r>
    </w:p>
    <w:p>
      <w:pPr>
        <w:pStyle w:val="null3"/>
      </w:pPr>
      <w:r>
        <w:rPr>
          <w:rFonts w:ascii="仿宋_GB2312" w:hAnsi="仿宋_GB2312" w:cs="仿宋_GB2312" w:eastAsia="仿宋_GB2312"/>
        </w:rPr>
        <w:t>联系电话：15129028932</w:t>
      </w:r>
    </w:p>
    <w:p>
      <w:pPr>
        <w:pStyle w:val="null3"/>
      </w:pPr>
      <w:r>
        <w:rPr>
          <w:rFonts w:ascii="仿宋_GB2312" w:hAnsi="仿宋_GB2312" w:cs="仿宋_GB2312" w:eastAsia="仿宋_GB2312"/>
        </w:rPr>
        <w:t>地址：陕西省西安市高新区高新六路21号CROSS万象汇6幢1单元7层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立固定无人机库，培训人员敦练掌握无人机，进行巡林管护，通过无人机信息处理电脑实现对全县森林资源的精细化、管理。；主要功能或目标：建立覆盖全县林区范围的无人机巡查体系，实现无人机巡林，实现“互联网+资源监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70"/>
              <w:gridCol w:w="165"/>
              <w:gridCol w:w="165"/>
              <w:gridCol w:w="1849"/>
            </w:tblGrid>
            <w:tr>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名称</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技术参数</w:t>
                  </w:r>
                </w:p>
              </w:tc>
            </w:tr>
            <w:tr>
              <w:tc>
                <w:tcPr>
                  <w:tcW w:type="dxa" w:w="3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巡检无人机</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裸机重量：≤1300g，最大起飞重量：≥ 1400g</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※最大信号有效距离（无干扰、无遮挡）：≥12km</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※最长飞行时间：≥45分钟</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※最大可抗风速：≥12m/s</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飞行器支持RTK定位功能</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需支持全向感知系统，支持全向双目视觉避障系统，具备下方红外传感器，能够在探测到障碍物时在App上进行提醒，并自动减速刹车或绕行</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相机类型：需具备变焦、广角可见光和红外热成像相机，支持近红外补光和测距功能。</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地理位置时间戳水印：支持在无人机拍摄的可见光视频与照片上记录拍摄时的地理位置坐标和时间</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遥控器：地面站显示器支持触摸屏，屏幕显示分辨率≥1920*1200，显示器亮度≥1400尼特</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配件：配备原厂喊话器、探照灯，以及4G模块，额外配备原厂4块电池，配备降落伞</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支持北斗定位模式</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保险：三年原厂保险，在额度内可享受不限次数的免费维修服务。</w:t>
                  </w:r>
                </w:p>
              </w:tc>
            </w:tr>
            <w:tr>
              <w:tc>
                <w:tcPr>
                  <w:tcW w:type="dxa" w:w="3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灭火无人机</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※最大起飞重量：≥90kg，最大负载：≥40kg</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飞行器支持RTK定位功能</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最大上升速度：≥5m/s，最大下降速度：≥3m/s</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※最大飞行海拔高度：≥4000m；</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※最大飞行时间：≥28分钟</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遥控器：遥控器需具备1080p及以上分辨率的触摸显示屏，屏幕最高亮度≥1200尼特</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无人机综合管理平台：平台支持远程任务规划和设备分配，自动执行航线任务</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充电功率≥7200W</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配件：额外配备2块原厂电池</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支持北斗定位模式</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保险：一年原厂保险，在额度内可享受不限次数的免费维修服务。</w:t>
                  </w:r>
                  <w:r>
                    <w:br/>
                  </w:r>
                  <w:r>
                    <w:rPr>
                      <w:rFonts w:ascii="仿宋_GB2312" w:hAnsi="仿宋_GB2312" w:cs="仿宋_GB2312" w:eastAsia="仿宋_GB2312"/>
                      <w:sz w:val="24"/>
                      <w:color w:val="000000"/>
                    </w:rPr>
                    <w:t xml:space="preserve"> 第三者责任险：一份不低于60万保额的第三者责任险，保障在1年有效期内由于非主观故意的操作失误或意外事故而造成第三方人身意外伤害和财产损失及飞手、地面支持人员的人身意外伤害。</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负载：配备1套定高爆破森林灭火弹系统。</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灭火弹挂架单钩载重≥20Kg  </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支持激光测距雷达、气压计双重定高模块，为灭火弹提供标定高度。</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支持灯语指示灯，可通过指示灯查看主机状态。</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支持手持监测端显示灭火弹高度、状态</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支持手动调整火场基础高度，以针对在不同火焰高度下，设置灭火弹的空爆高度。</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支持手动调整灭火弹抛投高度，以针对不同情况下定高出现偏差时，设置灭火弹空爆高度。</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灭火弹：10颗                                                                                                              </w:t>
                  </w:r>
                  <w:r>
                    <w:br/>
                  </w:r>
                  <w:r>
                    <w:rPr>
                      <w:rFonts w:ascii="仿宋_GB2312" w:hAnsi="仿宋_GB2312" w:cs="仿宋_GB2312" w:eastAsia="仿宋_GB2312"/>
                      <w:sz w:val="24"/>
                      <w:color w:val="000000"/>
                    </w:rPr>
                    <w:t xml:space="preserve"> 灭火剂填充量≥10kg</w:t>
                  </w:r>
                  <w:r>
                    <w:br/>
                  </w:r>
                  <w:r>
                    <w:rPr>
                      <w:rFonts w:ascii="仿宋_GB2312" w:hAnsi="仿宋_GB2312" w:cs="仿宋_GB2312" w:eastAsia="仿宋_GB2312"/>
                      <w:sz w:val="24"/>
                      <w:color w:val="000000"/>
                    </w:rPr>
                    <w:t xml:space="preserve"> 布洒面积≥40㎡</w:t>
                  </w:r>
                  <w:r>
                    <w:br/>
                  </w:r>
                  <w:r>
                    <w:rPr>
                      <w:rFonts w:ascii="仿宋_GB2312" w:hAnsi="仿宋_GB2312" w:cs="仿宋_GB2312" w:eastAsia="仿宋_GB2312"/>
                      <w:sz w:val="24"/>
                      <w:color w:val="000000"/>
                    </w:rPr>
                    <w:t xml:space="preserve"> 布洒半径 ≥5米</w:t>
                  </w:r>
                  <w:r>
                    <w:br/>
                  </w:r>
                  <w:r>
                    <w:rPr>
                      <w:rFonts w:ascii="仿宋_GB2312" w:hAnsi="仿宋_GB2312" w:cs="仿宋_GB2312" w:eastAsia="仿宋_GB2312"/>
                      <w:sz w:val="24"/>
                      <w:color w:val="000000"/>
                    </w:rPr>
                    <w:t xml:space="preserve"> 安全半径 ≥10米</w:t>
                  </w:r>
                  <w:r>
                    <w:br/>
                  </w:r>
                  <w:r>
                    <w:rPr>
                      <w:rFonts w:ascii="仿宋_GB2312" w:hAnsi="仿宋_GB2312" w:cs="仿宋_GB2312" w:eastAsia="仿宋_GB2312"/>
                      <w:sz w:val="24"/>
                      <w:color w:val="000000"/>
                    </w:rPr>
                    <w:t xml:space="preserve"> 灭火剂类型：干粉型/水基型                                                                    </w:t>
                  </w:r>
                  <w:r>
                    <w:br/>
                  </w:r>
                  <w:r>
                    <w:rPr>
                      <w:rFonts w:ascii="仿宋_GB2312" w:hAnsi="仿宋_GB2312" w:cs="仿宋_GB2312" w:eastAsia="仿宋_GB2312"/>
                      <w:sz w:val="24"/>
                      <w:color w:val="000000"/>
                    </w:rPr>
                    <w:t xml:space="preserve"> 响应时间≤2s</w:t>
                  </w:r>
                  <w:r>
                    <w:br/>
                  </w:r>
                  <w:r>
                    <w:rPr>
                      <w:rFonts w:ascii="仿宋_GB2312" w:hAnsi="仿宋_GB2312" w:cs="仿宋_GB2312" w:eastAsia="仿宋_GB2312"/>
                      <w:sz w:val="24"/>
                      <w:color w:val="000000"/>
                    </w:rPr>
                    <w:t xml:space="preserve"> 爆破高度：支持自动定高和手动干预调解                         </w:t>
                  </w:r>
                  <w:r>
                    <w:br/>
                  </w:r>
                  <w:r>
                    <w:rPr>
                      <w:rFonts w:ascii="仿宋_GB2312" w:hAnsi="仿宋_GB2312" w:cs="仿宋_GB2312" w:eastAsia="仿宋_GB2312"/>
                      <w:sz w:val="24"/>
                      <w:color w:val="000000"/>
                    </w:rPr>
                    <w:t xml:space="preserve"> 高度标定方式：支持激光测距+气压计定高                                                 </w:t>
                  </w:r>
                  <w:r>
                    <w:br/>
                  </w:r>
                  <w:r>
                    <w:rPr>
                      <w:rFonts w:ascii="仿宋_GB2312" w:hAnsi="仿宋_GB2312" w:cs="仿宋_GB2312" w:eastAsia="仿宋_GB2312"/>
                      <w:sz w:val="24"/>
                      <w:color w:val="000000"/>
                    </w:rPr>
                    <w:t xml:space="preserve"> 安全配置：具备多冗余安全配置                                                                                                                       </w:t>
                  </w:r>
                  <w:r>
                    <w:br/>
                  </w:r>
                  <w:r>
                    <w:rPr>
                      <w:rFonts w:ascii="仿宋_GB2312" w:hAnsi="仿宋_GB2312" w:cs="仿宋_GB2312" w:eastAsia="仿宋_GB2312"/>
                      <w:sz w:val="24"/>
                      <w:color w:val="000000"/>
                    </w:rPr>
                    <w:t xml:space="preserve"> 灭火弹保质期不少于2年</w:t>
                  </w:r>
                </w:p>
              </w:tc>
            </w:tr>
            <w:tr>
              <w:tc>
                <w:tcPr>
                  <w:tcW w:type="dxa" w:w="3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病虫害防治侦测无人机系统</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裸机重量：≤1000g</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※最大信号有效距离（无干扰、无遮挡）：≥8km</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※最长飞行时间：≥40分钟</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※最大可抗风速：≥12m/s</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※最大起飞海拔高度：≥4000m；</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支持北斗定位模式</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相机：至少具备可见光相机以及绿、红、红边、近红外多光谱相机，多光谱相机有效像素不低于500万</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航线软件功能：支持实时NDVI植被指数查看</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配件：配备RTK模块，支持RTK厘米级定位，可方便拆卸。额外配备3块原厂电池和1个充电管家。</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保险：三年原厂保险，在额度内可享受不限次数的免费维修服务。</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制图软件：配备1套三维建模软件，可支持各类可见光精准高效的二维三维重建，以及激光雷达的数据处理。支持辐射校正，可输出反射率地图用于遥感科学研究；也可直接生成 NDVI、NDRE 等植被指数图，需能够配合原有农业植保系统使用，帮助判断植物生长状况及异常问题。</w:t>
                  </w:r>
                </w:p>
              </w:tc>
            </w:tr>
            <w:tr>
              <w:tc>
                <w:tcPr>
                  <w:tcW w:type="dxa" w:w="3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病虫害防治作业无人机</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6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※最大喷洒起飞重量：≥140kg</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※可设置最大飞行半径：≥2km</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※最大可承受风速：≥6 m/s</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具备毫米波雷达及视觉系统等，可实现全向安全避障</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避障测距范围≥60 m</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遥控器：支持触控液晶显示屏，分辨率≥1920×1200，亮度≥1400尼特</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电池：容量不小于41000mAh，配备2块电池。</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充电：支持≥10000瓦快充。</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飞机原厂保险：三年原厂保险，在额度内可享受不限次数的免费维修服务</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电池原厂保险：三年原厂保险，在额度内可享受不限次数的免费维修服务</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支持北斗定位模式</w:t>
                  </w:r>
                </w:p>
              </w:tc>
            </w:tr>
            <w:tr>
              <w:tc>
                <w:tcPr>
                  <w:tcW w:type="dxa" w:w="370"/>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配件：配备1套弥雾喷头套装，1个4G图传模块，1个RTK基站（含脚架），1个图传中继模块。</w:t>
                  </w:r>
                </w:p>
              </w:tc>
            </w:tr>
            <w:tr>
              <w:tc>
                <w:tcPr>
                  <w:tcW w:type="dxa" w:w="3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人员培训</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1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人</w:t>
                  </w:r>
                </w:p>
              </w:tc>
              <w:tc>
                <w:tcPr>
                  <w:tcW w:type="dxa" w:w="18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CAAC四类（中型）无人机培训考证</w:t>
                  </w:r>
                </w:p>
              </w:tc>
            </w:tr>
            <w:tr>
              <w:tc>
                <w:tcPr>
                  <w:tcW w:type="dxa" w:w="2549"/>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特别注意：</w:t>
                  </w:r>
                  <w:r>
                    <w:br/>
                  </w:r>
                  <w:r>
                    <w:rPr>
                      <w:rFonts w:ascii="仿宋_GB2312" w:hAnsi="仿宋_GB2312" w:cs="仿宋_GB2312" w:eastAsia="仿宋_GB2312"/>
                      <w:sz w:val="22"/>
                      <w:b/>
                      <w:color w:val="000000"/>
                    </w:rPr>
                    <w:t xml:space="preserve"> 1.核心产品为：巡检无人机；</w:t>
                  </w:r>
                  <w:r>
                    <w:br/>
                  </w:r>
                  <w:r>
                    <w:rPr>
                      <w:rFonts w:ascii="仿宋_GB2312" w:hAnsi="仿宋_GB2312" w:cs="仿宋_GB2312" w:eastAsia="仿宋_GB2312"/>
                      <w:sz w:val="22"/>
                      <w:b/>
                      <w:color w:val="000000"/>
                    </w:rPr>
                    <w:t xml:space="preserve"> 2.上述技术参数必须全部响应，其中标※参数需要提供相应的证明材料（包括但不限于产品说明书、检测报告、产品彩页、厂家授权等资料）</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30 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首次付款：合同签订，完成供货经采购人验收合格后30个日历日内，乙方开具合同额的80%普通增值税发票 ，达到付款条件起 30 日内，支付合同总金额的80%。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完成人员培训后30个日历日内，乙方开具合同额的15%普通增值税发票 ，达到付款条件起30 日内，支付合同总金额的15%。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余款5%，质保期满后30个日历日内一次性不计息付清，达到付款条件起 30日内，支付合同总金额的5%。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采购人和供货单位共同对产品进行验收。其内容包括确认产品的准确产地、规格、型号和数量，对其产品技术指标、性能参数进行逐项检查。 1、所验产品的指标、性能参数通过验收达不到招标文件要求和投标文件承诺，或在使用中发现采购方不能容忍的缺陷等，将视为产品验收不合格，中标人应免费更换或退货。 2、若发现中标人有弄虚作假的，故意或随意夸大产品技术性能，采购方除要求退货外，有权取消中标供应商资格，并且要求中标供应商赔偿采购人相应的损失。 3、验收标准：产品按招标文件、投标文件及澄清函等技术指标进行验收。产品质量、设计等各项指标均应符合验收标准及要求。 4、验收合格后，填写验收单，双方签字生效。 5、验收依据： （1）本合同文本； （2）招标文件、投标文件及澄清函； （3）国家和行业制定的相应的标准和规范； （4）产品验收清单（注明产品的名称、型号、数量、参数和原产地或制造厂商）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 七、资格证明文件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 七、资格证明文件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须提供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提供投标截止时间前一年内已缴纳的至少一个月纳税证明或完税证明，依法免税的单位应提供相关证明材料；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有依法社会保障资金的良好记录</w:t>
            </w:r>
          </w:p>
        </w:tc>
        <w:tc>
          <w:tcPr>
            <w:tcW w:type="dxa" w:w="3322"/>
          </w:tcPr>
          <w:p>
            <w:pPr>
              <w:pStyle w:val="null3"/>
            </w:pPr>
            <w:r>
              <w:rPr>
                <w:rFonts w:ascii="仿宋_GB2312" w:hAnsi="仿宋_GB2312" w:cs="仿宋_GB2312" w:eastAsia="仿宋_GB2312"/>
              </w:rPr>
              <w:t>提供投标截止时间前一年内已缴存的至少一个月的社会保障资金缴存单据或社保机构开具的社会保险参保缴费情况证明，依法不需要缴纳社会保障资金的单位应提供相关证明材料；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供应商未被列入信用中国网站(www.creditchina.gov.cn)“失信被执行人、重大税收违法案件当事人名单”；不处于中国政府采购(www.ccgp.gov.cn)“政府采购严重违法失信行为信息记录”中的禁止参加政府采购活动期间；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法定代表人授权书/法人身份证</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七、资格证明文件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一、响应函 三、报价表 标的清单 四、分项报价表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响应文件上法定代表人或其委托代理人的签字或印章齐全并按要求加盖单位公章</w:t>
            </w:r>
          </w:p>
        </w:tc>
        <w:tc>
          <w:tcPr>
            <w:tcW w:type="dxa" w:w="1661"/>
          </w:tcPr>
          <w:p>
            <w:pPr>
              <w:pStyle w:val="null3"/>
            </w:pPr>
            <w:r>
              <w:rPr>
                <w:rFonts w:ascii="仿宋_GB2312" w:hAnsi="仿宋_GB2312" w:cs="仿宋_GB2312" w:eastAsia="仿宋_GB2312"/>
              </w:rPr>
              <w:t>五、项目实施方案 七、资格证明文件 中小企业声明函 三、报价表 四、分项报价表 响应文件封面 一、响应函 六、技术、商务响应表 八、其他事项 残疾人福利性单位声明函 标的清单 二、法定代表人证明书与法定代表人授权书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报价不超过采购预算和最高限价</w:t>
            </w:r>
          </w:p>
        </w:tc>
        <w:tc>
          <w:tcPr>
            <w:tcW w:type="dxa" w:w="1661"/>
          </w:tcPr>
          <w:p>
            <w:pPr>
              <w:pStyle w:val="null3"/>
            </w:pPr>
            <w:r>
              <w:rPr>
                <w:rFonts w:ascii="仿宋_GB2312" w:hAnsi="仿宋_GB2312" w:cs="仿宋_GB2312" w:eastAsia="仿宋_GB2312"/>
              </w:rPr>
              <w:t>一、响应函 三、报价表 标的清单 四、分项报价表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五、项目实施方案 七、资格证明文件 中小企业声明函 三、报价表 四、分项报价表 响应文件封面 一、响应函 六、技术、商务响应表 八、其他事项 残疾人福利性单位声明函 标的清单 二、法定代表人证明书与法定代表人授权书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满足采购文件中交货期的要求</w:t>
            </w:r>
          </w:p>
        </w:tc>
        <w:tc>
          <w:tcPr>
            <w:tcW w:type="dxa" w:w="1661"/>
          </w:tcPr>
          <w:p>
            <w:pPr>
              <w:pStyle w:val="null3"/>
            </w:pPr>
            <w:r>
              <w:rPr>
                <w:rFonts w:ascii="仿宋_GB2312" w:hAnsi="仿宋_GB2312" w:cs="仿宋_GB2312" w:eastAsia="仿宋_GB2312"/>
              </w:rPr>
              <w:t>一、响应函 三、报价表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一、响应函 二、法定代表人证明书与法定代表人授权书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拟提供的技术、商务要求</w:t>
            </w:r>
          </w:p>
        </w:tc>
        <w:tc>
          <w:tcPr>
            <w:tcW w:type="dxa" w:w="3322"/>
          </w:tcPr>
          <w:p>
            <w:pPr>
              <w:pStyle w:val="null3"/>
            </w:pPr>
            <w:r>
              <w:rPr>
                <w:rFonts w:ascii="仿宋_GB2312" w:hAnsi="仿宋_GB2312" w:cs="仿宋_GB2312" w:eastAsia="仿宋_GB2312"/>
              </w:rPr>
              <w:t>应满足采购文件提出的技术及商务要求</w:t>
            </w:r>
          </w:p>
        </w:tc>
        <w:tc>
          <w:tcPr>
            <w:tcW w:type="dxa" w:w="1661"/>
          </w:tcPr>
          <w:p>
            <w:pPr>
              <w:pStyle w:val="null3"/>
            </w:pPr>
            <w:r>
              <w:rPr>
                <w:rFonts w:ascii="仿宋_GB2312" w:hAnsi="仿宋_GB2312" w:cs="仿宋_GB2312" w:eastAsia="仿宋_GB2312"/>
              </w:rPr>
              <w:t>六、技术、商务响应表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三、报价表 标的清单 四、分项报价表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详见附件：一、响应函</w:t>
      </w:r>
    </w:p>
    <w:p>
      <w:pPr>
        <w:pStyle w:val="null3"/>
        <w:ind w:firstLine="960"/>
      </w:pPr>
      <w:r>
        <w:rPr>
          <w:rFonts w:ascii="仿宋_GB2312" w:hAnsi="仿宋_GB2312" w:cs="仿宋_GB2312" w:eastAsia="仿宋_GB2312"/>
        </w:rPr>
        <w:t>详见附件：二、法定代表人证明书与法定代表人授权书</w:t>
      </w:r>
    </w:p>
    <w:p>
      <w:pPr>
        <w:pStyle w:val="null3"/>
        <w:ind w:firstLine="960"/>
      </w:pPr>
      <w:r>
        <w:rPr>
          <w:rFonts w:ascii="仿宋_GB2312" w:hAnsi="仿宋_GB2312" w:cs="仿宋_GB2312" w:eastAsia="仿宋_GB2312"/>
        </w:rPr>
        <w:t>详见附件：三、报价表</w:t>
      </w:r>
    </w:p>
    <w:p>
      <w:pPr>
        <w:pStyle w:val="null3"/>
        <w:ind w:firstLine="960"/>
      </w:pPr>
      <w:r>
        <w:rPr>
          <w:rFonts w:ascii="仿宋_GB2312" w:hAnsi="仿宋_GB2312" w:cs="仿宋_GB2312" w:eastAsia="仿宋_GB2312"/>
        </w:rPr>
        <w:t>详见附件：四、分项报价表</w:t>
      </w:r>
    </w:p>
    <w:p>
      <w:pPr>
        <w:pStyle w:val="null3"/>
        <w:ind w:firstLine="960"/>
      </w:pPr>
      <w:r>
        <w:rPr>
          <w:rFonts w:ascii="仿宋_GB2312" w:hAnsi="仿宋_GB2312" w:cs="仿宋_GB2312" w:eastAsia="仿宋_GB2312"/>
        </w:rPr>
        <w:t>详见附件：五、项目实施方案</w:t>
      </w:r>
    </w:p>
    <w:p>
      <w:pPr>
        <w:pStyle w:val="null3"/>
        <w:ind w:firstLine="960"/>
      </w:pPr>
      <w:r>
        <w:rPr>
          <w:rFonts w:ascii="仿宋_GB2312" w:hAnsi="仿宋_GB2312" w:cs="仿宋_GB2312" w:eastAsia="仿宋_GB2312"/>
        </w:rPr>
        <w:t>详见附件：六、技术、商务响应表</w:t>
      </w:r>
    </w:p>
    <w:p>
      <w:pPr>
        <w:pStyle w:val="null3"/>
        <w:ind w:firstLine="960"/>
      </w:pPr>
      <w:r>
        <w:rPr>
          <w:rFonts w:ascii="仿宋_GB2312" w:hAnsi="仿宋_GB2312" w:cs="仿宋_GB2312" w:eastAsia="仿宋_GB2312"/>
        </w:rPr>
        <w:t>详见附件：七、资格证明文件</w:t>
      </w:r>
    </w:p>
    <w:p>
      <w:pPr>
        <w:pStyle w:val="null3"/>
        <w:ind w:firstLine="960"/>
      </w:pPr>
      <w:r>
        <w:rPr>
          <w:rFonts w:ascii="仿宋_GB2312" w:hAnsi="仿宋_GB2312" w:cs="仿宋_GB2312" w:eastAsia="仿宋_GB2312"/>
        </w:rPr>
        <w:t>详见附件：八、其他事项</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