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版本号：SZ8258-GP-DC-013S20250910001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蓝田县中心敬老院改造提升项目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SZ8258-GP-DC-013S</w:t>
      </w:r>
      <w:r>
        <w:br/>
      </w:r>
      <w:r>
        <w:br/>
      </w:r>
      <w:r>
        <w:br/>
      </w:r>
    </w:p>
    <w:p>
      <w:pPr>
        <w:pStyle w:val="null3"/>
        <w:jc w:val="center"/>
        <w:outlineLvl w:val="2"/>
      </w:pPr>
      <w:r>
        <w:rPr>
          <w:rFonts w:ascii="仿宋_GB2312" w:hAnsi="仿宋_GB2312" w:cs="仿宋_GB2312" w:eastAsia="仿宋_GB2312"/>
          <w:sz w:val="28"/>
          <w:b/>
        </w:rPr>
        <w:t>西安市蓝田县中心敬老院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西安市蓝田县中心敬老院</w:t>
      </w:r>
      <w:r>
        <w:rPr>
          <w:rFonts w:ascii="仿宋_GB2312" w:hAnsi="仿宋_GB2312" w:cs="仿宋_GB2312" w:eastAsia="仿宋_GB2312"/>
        </w:rPr>
        <w:t>委托，拟对</w:t>
      </w:r>
      <w:r>
        <w:rPr>
          <w:rFonts w:ascii="仿宋_GB2312" w:hAnsi="仿宋_GB2312" w:cs="仿宋_GB2312" w:eastAsia="仿宋_GB2312"/>
        </w:rPr>
        <w:t>蓝田县中心敬老院改造提升项目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SZ8258-GP-DC-013S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蓝田县中心敬老院改造提升项目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本工程位于陕西省西安市蓝田县玉山路东段，主要改造内容包含院内绿化改造，大门口门楼及大门改造，院内提升改造，院内给排水改造，拆除工程，智慧呼叫系统，室外改造提升等。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采购包1（蓝田县中心敬老院改造提升项目）：属于专门面向中小企业采购。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1、具有独立承担民事责任能力的法人、其他组织或自然人：法人或者其他组织的营业执照等证明文件，自然人的身份证明。</w:t>
      </w:r>
    </w:p>
    <w:p>
      <w:pPr>
        <w:pStyle w:val="null3"/>
      </w:pPr>
      <w:r>
        <w:rPr>
          <w:rFonts w:ascii="仿宋_GB2312" w:hAnsi="仿宋_GB2312" w:cs="仿宋_GB2312" w:eastAsia="仿宋_GB2312"/>
        </w:rPr>
        <w:t>2、法定代表人身份证明或法定代表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3、财务状况报告：投标人提供2023年度或2024年度经审计的财务报告或投标截止日前三个月内开户银行出具的资信证明文件基本账户信息证明文件或财政部门认可的政府采购专业担保机构开具的投标担保函。</w:t>
      </w:r>
    </w:p>
    <w:p>
      <w:pPr>
        <w:pStyle w:val="null3"/>
      </w:pPr>
      <w:r>
        <w:rPr>
          <w:rFonts w:ascii="仿宋_GB2312" w:hAnsi="仿宋_GB2312" w:cs="仿宋_GB2312" w:eastAsia="仿宋_GB2312"/>
        </w:rPr>
        <w:t>4、税收缴纳证明：依法缴纳税收的良好记录（提供投标截止时间前六个月内任意一个月份依法纳税证明或无欠税证明）依法免税的投标人应提供相关资料证明。 ）</w:t>
      </w:r>
    </w:p>
    <w:p>
      <w:pPr>
        <w:pStyle w:val="null3"/>
      </w:pPr>
      <w:r>
        <w:rPr>
          <w:rFonts w:ascii="仿宋_GB2312" w:hAnsi="仿宋_GB2312" w:cs="仿宋_GB2312" w:eastAsia="仿宋_GB2312"/>
        </w:rPr>
        <w:t>5、社会保障资金缴纳证明：依法缴纳社会保障资金的良好记录（提供投标截止时间前六个月内任意一个月份的缴费证明资料）依法不需要缴纳社会保障资金的投标人应提供相关资料证明。</w:t>
      </w:r>
    </w:p>
    <w:p>
      <w:pPr>
        <w:pStyle w:val="null3"/>
      </w:pPr>
      <w:r>
        <w:rPr>
          <w:rFonts w:ascii="仿宋_GB2312" w:hAnsi="仿宋_GB2312" w:cs="仿宋_GB2312" w:eastAsia="仿宋_GB2312"/>
        </w:rPr>
        <w:t>6、承诺函：提供具有履行合同所必须的设备和专业技术能力 （提供承诺函）。</w:t>
      </w:r>
    </w:p>
    <w:p>
      <w:pPr>
        <w:pStyle w:val="null3"/>
      </w:pPr>
      <w:r>
        <w:rPr>
          <w:rFonts w:ascii="仿宋_GB2312" w:hAnsi="仿宋_GB2312" w:cs="仿宋_GB2312" w:eastAsia="仿宋_GB2312"/>
        </w:rPr>
        <w:t>7、书面声明：参加政府采购活动前三年内，在经营活动中没有重大违法记录的书面声明。</w:t>
      </w:r>
    </w:p>
    <w:p>
      <w:pPr>
        <w:pStyle w:val="null3"/>
      </w:pPr>
      <w:r>
        <w:rPr>
          <w:rFonts w:ascii="仿宋_GB2312" w:hAnsi="仿宋_GB2312" w:cs="仿宋_GB2312" w:eastAsia="仿宋_GB2312"/>
        </w:rPr>
        <w:t>8、信用截图：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pPr>
        <w:pStyle w:val="null3"/>
      </w:pPr>
      <w:r>
        <w:rPr>
          <w:rFonts w:ascii="仿宋_GB2312" w:hAnsi="仿宋_GB2312" w:cs="仿宋_GB2312" w:eastAsia="仿宋_GB2312"/>
        </w:rPr>
        <w:t>9、企业资质：供应商应具备建设行政主管部门颁发的建筑工程施工总承包三级及以上资质，并具有合格有效的安全生产许可证。</w:t>
      </w:r>
    </w:p>
    <w:p>
      <w:pPr>
        <w:pStyle w:val="null3"/>
      </w:pPr>
      <w:r>
        <w:rPr>
          <w:rFonts w:ascii="仿宋_GB2312" w:hAnsi="仿宋_GB2312" w:cs="仿宋_GB2312" w:eastAsia="仿宋_GB2312"/>
        </w:rPr>
        <w:t>10、项目经理资质：供应商拟派项目经理须具备行业主管部门颁发的建筑工程专业二级及以上注册建造师资质及有效的安全生产考核合格证书（建安B证），在本单位注册且无在建工程。</w:t>
      </w:r>
    </w:p>
    <w:p>
      <w:pPr>
        <w:pStyle w:val="null3"/>
      </w:pPr>
      <w:r>
        <w:rPr>
          <w:rFonts w:ascii="仿宋_GB2312" w:hAnsi="仿宋_GB2312" w:cs="仿宋_GB2312" w:eastAsia="仿宋_GB2312"/>
        </w:rPr>
        <w:t>11、供应商基本信息及项目经理基本信息：供应商基本信息及项目经理基本信息应在“陕西建设网（http://js.shaanxi.gov.cn/ ）陕西省建筑市场监管与诚信信息发布平台”可查询；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蓝田县长坪路白马坡下</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029-82703853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陕西安市和平路108号佳腾大厦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李秋鹏、翟燕荣、朱颖华、孙东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029-87517633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收费。 收款账户如下： 收款单位：陕西省招标有限责任公司 开户银行：招商银行西安朝阳门支行 银行账号：129904242010801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西安市蓝田县中心敬老院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西安市蓝田县中心敬老院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以合同最终约定为准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2,197,879.52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蓝田县中心敬老院改造提升项目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标的名称：蓝田县中心敬老院改造提升项目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详见技术要求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（1）工期：100日历天； （2）付款方式：合同签订材料进场后，达到付款条件起10日内，甲方向乙方支付合同价款的40%作为预付款；乙方完成合同工程量80%时，达到付款条件起10日内，甲方向乙方支付至合同总价款的70%作为工程进度款；乙方完成全部工程量时，经甲方组织有关部门验收合格后，经政府相关审计部门审计完成后，达到付款条件起10日内，支付至审计结算价款的97%，剩余3%作为质保金，质保期满后，达到付款条件起10日内，一次性无息付清。 （3）质保期： 3.1基础设施工程、房屋建筑的地基基础工程和主体结构工程，为设计文件规定的该工程的合理使用年限。 3.2屋面防水工程、有防水要求的卫生间、房间和外墙面的防渗漏，为5年。 3.3电气管线、给排水管道、设备安装和装修工程，为2年。 （4）缺陷责任期：自竣工验收之日起1年。 （5）质量要求：达到国家现行行业施工验收规范“合格”标准； （6）建设地点：陕西省西安市蓝田县玉山路东段。 （7）7.1各供应商应根据“陕西省财政厅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7.2“若供应商的最后报价只有一个总价，则供应商应当提交相应调整部分的报价构成及明细，并结合首次报价提供的已标价工程量清单，重新计算总报价。”为系统自动生成，无法更改，本项目二次报价只需填报项目总报价。 备注：项目咨询电话15829225879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投标人提供2023年度或2024年度经审计的财务报告或投标截止日前三个月内开户银行出具的资信证明文件基本账户信息证明文件或财政部门认可的政府采购专业担保机构开具的投标担保函。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投标人提供2023年度或2024年度经审计的财务报告或投标截止日前三个月内开户银行出具的资信证明文件基本账户信息证明文件或财政部门认可的政府采购专业担保机构开具的投标担保函。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依法缴纳税收的良好记录（提供投标截止时间前六个月内任意一个月份依法纳税证明或无欠税证明）依法免税的投标人应提供相关资料证明。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依法缴纳社会保障资金的良好记录（提供投标截止时间前六个月内任意一个月份的缴费证明资料）依法不需要缴纳社会保障资金的投标人应提供相关资料证明。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 （提供承诺函）。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供应商应具备建设行政主管部门颁发的建筑工程施工总承包三级及以上资质，并具有合格有效的安全生产许可证。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供应商拟派项目经理须具备行业主管部门颁发的建筑工程专业二级及以上注册建造师资质及有效的安全生产考核合格证书（建安B证），在本单位注册且无在建工程。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1、供应商提供针对本项目的质量管理方案，包含：①质量管理体系；②质量保证措施。 2、评审标准： 完整性：内容须全面，对评审内容中的各项要求有详细描述； 可实施性：切合本项目实际情况，实施步骤清晰、合理； 针对性：方案能够紧扣项目实际情况，内容科学合理。 3、赋分标准 ①质量管理体系：每完全满足一项评审标准得0.5分，不满足得0分，满分1.5分； ②质量保证措施：每完全满足一项评审标准得0.5分，不满足得0分，满分1.5分。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1、供应商编制完善的施工总进度计划，内容包含：①施工总进度：施工进度目标和施工总进度计划表②施工进度保障措施。 2、评审标准： 完整性：内容须全面，对评审内容中的各项要求有详细描述； 可实施性：切合本项目实际情况，实施步骤清晰、合理； 针对性：方案能够紧扣项目实际情况，内容科学合理。 3、赋分标准 ①施工总进度：施工进度目标和施工总进度计划表：每完全满足一项评审标准得1分，不满足得0分，满分3分； ②进度保障措施：每完全满足一项评审标准得1分，不满足得0分，满分3分。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安全生产、文明施工管理体系与措施</w:t>
            </w:r>
          </w:p>
        </w:tc>
        <w:tc>
          <w:tcPr>
            <w:tcW w:type="dxa" w:w="2492"/>
          </w:tcPr>
          <w:p>
            <w:pPr>
              <w:pStyle w:val="null3"/>
            </w:pPr>
            <w:r>
              <w:rPr>
                <w:rFonts w:ascii="仿宋_GB2312" w:hAnsi="仿宋_GB2312" w:cs="仿宋_GB2312" w:eastAsia="仿宋_GB2312"/>
              </w:rPr>
              <w:t>1、供应商提供针对本项目的安全管理方案，包含：①安全管理体系与措施；②安全文明施工措施；③应急救援预案。 2、评审标准： 完整性：内容须全面，对评审内容中的各项要求有详细描述； 可实施性：切合本项目实际情况，实施步骤清晰、合理； 针对性：方案能够紧扣项目实际情况，内容科学合理。 3、赋分标准 ①安全管理体系与措施：每完全满足一项评审标准得1分，不满足得0分，满分3分； ②安全文明施工措施：每完全满足一项评审标准得1分，不满足得0分，满分3分； ③应急救援预案：每完全满足一项评审标准得0.5分，不满足得0分，满分1.5分；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技术与产品保障方案</w:t>
            </w:r>
          </w:p>
        </w:tc>
        <w:tc>
          <w:tcPr>
            <w:tcW w:type="dxa" w:w="2492"/>
          </w:tcPr>
          <w:p>
            <w:pPr>
              <w:pStyle w:val="null3"/>
            </w:pPr>
            <w:r>
              <w:rPr>
                <w:rFonts w:ascii="仿宋_GB2312" w:hAnsi="仿宋_GB2312" w:cs="仿宋_GB2312" w:eastAsia="仿宋_GB2312"/>
              </w:rPr>
              <w:t>1、供应商针对本项目所投入的设备、主要材料的质量，包含：①技术资料；②产品性能。 2、评审标准： 完整性：内容须全面，对评审内容中的各项要求有详细描述； 可实施性：材料使用切合本项目实际情况、满足实用性、针对性的要求。 3、赋分标准 ①技术资料：每完全满足一项评审标准得1.5分，不满足得0分，满分3.0分； ②产品性能：每完全满足一项评审标准得1.5分，不满足得0分，满分3.0分。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节能产品、环保标志产品优先采购</w:t>
            </w:r>
          </w:p>
        </w:tc>
        <w:tc>
          <w:tcPr>
            <w:tcW w:type="dxa" w:w="2492"/>
          </w:tcPr>
          <w:p>
            <w:pPr>
              <w:pStyle w:val="null3"/>
            </w:pPr>
            <w:r>
              <w:rPr>
                <w:rFonts w:ascii="仿宋_GB2312" w:hAnsi="仿宋_GB2312" w:cs="仿宋_GB2312" w:eastAsia="仿宋_GB2312"/>
              </w:rPr>
              <w:t>采用的材料每有一项属于节能产品政府采购品目清单，或环境标志产品政府采购品目清单中优先采购范围的得0.5分。本项最高得3分。 注：1、同时具备节能产品认证和环境标志产品认证的产品可分别得分； 2、提供国家确认的认证机构出具的、处于有效期之内的节能产品、或环境标志产品认证证书作为计分依据。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1、供应商提供本项目施工方案，包含：①施工工艺；②施工方法；③技术措施。 2、评审标准： 完整性：内容须全面，对评审内容中的各项要求有详细描述； 可实施性：切合本项目实际情况，实施步骤清晰、合理； 针对性：方案能够紧扣项目实际情况，内容科学合理。 3、赋分标准 ①施工工艺：每完全满足一项评审标准得2.0分，不满足得0分，满分6.0分； ②施工方法：每完全满足一项评审标准得2.0分，不满足得0分，满分6.0分； ③技术措施：每完全满足一项评审标准得2.0分，不满足得0分，满分6.0分。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1、供应商提供针对本项目的环保方案，包括但不限于环境保护管理体系与措施。 2、评审标准： 完整性：内容须全面，对评审内容中的各项要求有详细描述； 可实施性：切合本项目实际情况，实施步骤清晰、合理； 针对性：方案能够紧扣项目实际情况，内容科学合理。 3、赋分标准 每完全满足一项评审标准得1分，不满足得0分，满分3分。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1、供应商提供针对本项目的人员配备方案，包含：①项目部人员组成及架构；②劳动力保障措施。 2、评审标准： 完整性：内容须全面，对评审内容中的各项要求有详细描述； 可实施性：切合本项目实际情况，实施步骤清晰、合理； 针对性：方案能够紧扣项目实际情况，内容科学合理。 3、赋分标准 ①项目部人员组成及架构：每完全满足一项评审标准得1.0分，不满足得0分，满分3.0分； ②劳动力保障措施：每完全满足一项评审标准得0.5分，不满足得0分，满分1.5分。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保护方案</w:t>
            </w:r>
          </w:p>
        </w:tc>
        <w:tc>
          <w:tcPr>
            <w:tcW w:type="dxa" w:w="2492"/>
          </w:tcPr>
          <w:p>
            <w:pPr>
              <w:pStyle w:val="null3"/>
            </w:pPr>
            <w:r>
              <w:rPr>
                <w:rFonts w:ascii="仿宋_GB2312" w:hAnsi="仿宋_GB2312" w:cs="仿宋_GB2312" w:eastAsia="仿宋_GB2312"/>
              </w:rPr>
              <w:t>1、供应商提供针对本项目的现场保护措施方案，包含：①原有设施保护措施；②已完工保护措施。 2、评审标准： 完整性：内容须全面，对评审内容中的各项要求有详细描述； 可实施性：切合本项目实际情况，实施步骤清晰、合理； 针对性：方案能够紧扣项目实际情况，内容科学合理。 3、赋分标准 ①原有设施保护措施：每完全满足一项评审标准得0.5分，不满足得0分，满分1.5分； ②已完工成品保护措施：每完全满足一项评审标准得0.5分，不满足得0分，满分1.5分。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验收质保方案</w:t>
            </w:r>
          </w:p>
        </w:tc>
        <w:tc>
          <w:tcPr>
            <w:tcW w:type="dxa" w:w="2492"/>
          </w:tcPr>
          <w:p>
            <w:pPr>
              <w:pStyle w:val="null3"/>
            </w:pPr>
            <w:r>
              <w:rPr>
                <w:rFonts w:ascii="仿宋_GB2312" w:hAnsi="仿宋_GB2312" w:cs="仿宋_GB2312" w:eastAsia="仿宋_GB2312"/>
              </w:rPr>
              <w:t>1、结合本项目的实际，供应商应依据国家相关规定提出工程配合验收及保修方案，内容包含：①配合验收方案②维修措施③保修责任及保修承诺④响应时间。 评审标准： 1、完整性：内容必须全面，对评审内容中的各项要求有详细描述； 落实性：切合项目具体情况，提出责任明确、要求具体的方案； 针对性：内容能够紧扣项目实际情况，内容科学合理。 3、赋分标准 ①配合验收方案：每完全满足一个评审标准得0.5分，满分1.5分； ②维修措施：每完全满足一个评审标准得0.5分，满分1.5分； ③保修责任及保修承诺：每完全满足一个评审标准得0.5分，满分1.5分； ④响应时间：每完全满足一个评审标准得0.5分，满分1.5分。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供应商2021年1月1日至今类似项目的业绩，响应文件中附有其业绩证明材料，业绩以合同为依据，每提供一个计2分，满分为10分。提供材料不全或未提供不计分。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满足磋商文件要求且最后报价最低的供应商的价格为磋商基准价得30分，其他各供应商的最后磋商报价得分按下列公式计算： （磋商基准价/最后磋商报价）×30%×100分 注：落实政府采购政策见供应商须知前附表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