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版本号：WFZB-2025-J-091120250916001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孟村镇集体经济大棚修复项目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WFZB-2025-J-0911</w:t>
      </w:r>
      <w:r>
        <w:br/>
      </w:r>
      <w:r>
        <w:br/>
      </w:r>
      <w:r>
        <w:br/>
      </w:r>
    </w:p>
    <w:p>
      <w:pPr>
        <w:pStyle w:val="null3"/>
        <w:jc w:val="center"/>
        <w:outlineLvl w:val="2"/>
      </w:pPr>
      <w:r>
        <w:rPr>
          <w:rFonts w:ascii="仿宋_GB2312" w:hAnsi="仿宋_GB2312" w:cs="仿宋_GB2312" w:eastAsia="仿宋_GB2312"/>
          <w:sz w:val="28"/>
          <w:b/>
        </w:rPr>
        <w:t>西安市蓝田县孟村镇人民政府（本级）</w:t>
      </w:r>
    </w:p>
    <w:p>
      <w:pPr>
        <w:pStyle w:val="null3"/>
        <w:jc w:val="center"/>
        <w:outlineLvl w:val="2"/>
      </w:pPr>
      <w:r>
        <w:rPr>
          <w:rFonts w:ascii="仿宋_GB2312" w:hAnsi="仿宋_GB2312" w:cs="仿宋_GB2312" w:eastAsia="仿宋_GB2312"/>
          <w:sz w:val="28"/>
          <w:b/>
        </w:rPr>
        <w:t>陕西天丞伟丰项目管理有限公司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陕西天丞伟丰项目管理有限公司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西安市蓝田县孟村镇人民政府（本级）</w:t>
      </w:r>
      <w:r>
        <w:rPr>
          <w:rFonts w:ascii="仿宋_GB2312" w:hAnsi="仿宋_GB2312" w:cs="仿宋_GB2312" w:eastAsia="仿宋_GB2312"/>
        </w:rPr>
        <w:t>委托，拟对</w:t>
      </w:r>
      <w:r>
        <w:rPr>
          <w:rFonts w:ascii="仿宋_GB2312" w:hAnsi="仿宋_GB2312" w:cs="仿宋_GB2312" w:eastAsia="仿宋_GB2312"/>
        </w:rPr>
        <w:t>孟村镇集体经济大棚修复项目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WFZB-2025-J-0911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孟村镇集体经济大棚修复项目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修复受损总棚数205栋，其中变形28栋，PO膜受损142栋，棚头及入户门受损35栋。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采购包1（孟村镇集体经济大棚修复项目）：属于专门面向中小企业采购。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2、供应商应授权合法的人员参加磋商全过程：法定代表人参加投标时，提供法定代表人身份证明和本人身份证；授权代表参加投标时，提供法定代表人授权书和被授权人身份证；非法人单位参照执行；</w:t>
      </w:r>
    </w:p>
    <w:p>
      <w:pPr>
        <w:pStyle w:val="null3"/>
      </w:pPr>
      <w:r>
        <w:rPr>
          <w:rFonts w:ascii="仿宋_GB2312" w:hAnsi="仿宋_GB2312" w:cs="仿宋_GB2312" w:eastAsia="仿宋_GB2312"/>
        </w:rPr>
        <w:t>3、供应商资质要求：须提供建设行政主管部门颁发建筑工程施工总承包三级（含三级）及以上资质，并具有合格有效的安全生产许可证；</w:t>
      </w:r>
    </w:p>
    <w:p>
      <w:pPr>
        <w:pStyle w:val="null3"/>
      </w:pPr>
      <w:r>
        <w:rPr>
          <w:rFonts w:ascii="仿宋_GB2312" w:hAnsi="仿宋_GB2312" w:cs="仿宋_GB2312" w:eastAsia="仿宋_GB2312"/>
        </w:rPr>
        <w:t>4、拟派项目经理资格要求：拟派项目经理须具备建筑工程专业二级注册建造师及安全生产考核合格证书，在本单位注册且无在建工程和不良记录（提供无在建工程、无不良记录承诺书）；</w:t>
      </w:r>
    </w:p>
    <w:p>
      <w:pPr>
        <w:pStyle w:val="null3"/>
      </w:pPr>
      <w:r>
        <w:rPr>
          <w:rFonts w:ascii="仿宋_GB2312" w:hAnsi="仿宋_GB2312" w:cs="仿宋_GB2312" w:eastAsia="仿宋_GB2312"/>
        </w:rPr>
        <w:t>5、供应商信用要求：1）供应商在“全国建筑市场监管公共服务平台”可查询到企业及项目负责人基本信息； 2）出具参加本次政府采购活动前三年内在经营活动中没有重大违法记录的书面声明； 3）供应商不得为“信用中国”网站（www.creditchina.gov.cn）中列入失信被执行人和重大税收违法失信主体名单的投标人，不得为中国政府采购网（www.ccgp.gov.cn）政府采购严重违法失信行为记录名单中被财政部门禁止参加政府采购活动的投标人；在国家企业信用信息公示系统未被列入严重违法失信企业名单。（以采购代理机构在响应文件递交截止时间后当天查询记录为准）；</w:t>
      </w:r>
    </w:p>
    <w:p>
      <w:pPr>
        <w:pStyle w:val="null3"/>
      </w:pPr>
      <w:r>
        <w:rPr>
          <w:rFonts w:ascii="仿宋_GB2312" w:hAnsi="仿宋_GB2312" w:cs="仿宋_GB2312" w:eastAsia="仿宋_GB2312"/>
        </w:rPr>
        <w:t>6、财务状况报告：须提供2024年度的经审计的财务报告（至少包括三表一注，成立时间至提交响应文件截止时间不足一年的可提供成立后任意时段的资产负债表），或招标前三个月内开户银行出具的资信证明（附开户许可证或开户银行证明）；</w:t>
      </w:r>
    </w:p>
    <w:p>
      <w:pPr>
        <w:pStyle w:val="null3"/>
      </w:pPr>
      <w:r>
        <w:rPr>
          <w:rFonts w:ascii="仿宋_GB2312" w:hAnsi="仿宋_GB2312" w:cs="仿宋_GB2312" w:eastAsia="仿宋_GB2312"/>
        </w:rPr>
        <w:t>7、税收缴纳证明：提供响应文件递交时间前三个月内至少一个月已缴纳的纳税证明或完税证明凭据；其他组织和自然人提供响应文件递交时间前一年内至少一个月缴纳税收的凭据；依法免税的投标人应提供相关文件证明；</w:t>
      </w:r>
    </w:p>
    <w:p>
      <w:pPr>
        <w:pStyle w:val="null3"/>
      </w:pPr>
      <w:r>
        <w:rPr>
          <w:rFonts w:ascii="仿宋_GB2312" w:hAnsi="仿宋_GB2312" w:cs="仿宋_GB2312" w:eastAsia="仿宋_GB2312"/>
        </w:rPr>
        <w:t>8、社会保障资金缴纳证明：提供响应文件递交时间前三个月至少一个月已缴纳的社会保障资金的凭据（专用收据或社会保险缴纳清单）；依法不需要缴纳社会保障资金的投标人应提供相关文件证明；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9、供应商具有履行合同所必需的设备和专业技术能力：具备履行合同所必需的设备和专业技术能力的证明材料(由投标人根据项目需求提供说明材料或者承诺)；</w:t>
      </w:r>
    </w:p>
    <w:p>
      <w:pPr>
        <w:pStyle w:val="null3"/>
      </w:pPr>
      <w:r>
        <w:rPr>
          <w:rFonts w:ascii="仿宋_GB2312" w:hAnsi="仿宋_GB2312" w:cs="仿宋_GB2312" w:eastAsia="仿宋_GB2312"/>
        </w:rPr>
        <w:t>10、非联合体磋商：提供非联合体磋商声明。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西安市蓝田县孟村镇人民政府（本级）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蓝田县孟村镇街道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029-82912166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陕西天丞伟丰项目管理有限公司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陕西省西安市灞桥区陕西省西安市灞桥区长乐东路民政局家属院一号楼二单元1001号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张思雨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18302958248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采购包1：1,379,800.00元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开户名称：陕西天丞伟丰项目管理有限公司 开户银行：中国建设银行股份有限公司蓝田县支行 账号：6105 0170 5305 0000 0607（备注：项目名称+项目编号） 3、成交供应商在领取成交通知书时须携带纸质投标文件（签章版）贰份及电子优盘壹份（包含投标文件及报价）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西安市蓝田县孟村镇人民政府（本级）</w:t>
      </w:r>
      <w:r>
        <w:rPr>
          <w:rFonts w:ascii="仿宋_GB2312" w:hAnsi="仿宋_GB2312" w:cs="仿宋_GB2312" w:eastAsia="仿宋_GB2312"/>
        </w:rPr>
        <w:t>和</w:t>
      </w:r>
      <w:r>
        <w:rPr>
          <w:rFonts w:ascii="仿宋_GB2312" w:hAnsi="仿宋_GB2312" w:cs="仿宋_GB2312" w:eastAsia="仿宋_GB2312"/>
        </w:rPr>
        <w:t>陕西天丞伟丰项目管理有限公司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西安市蓝田县孟村镇人民政府（本级）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陕西天丞伟丰项目管理有限公司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西安市蓝田县孟村镇人民政府（本级）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陕西天丞伟丰项目管理有限公司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联系人：张思雨</w:t>
      </w:r>
    </w:p>
    <w:p>
      <w:pPr>
        <w:pStyle w:val="null3"/>
      </w:pPr>
      <w:r>
        <w:rPr>
          <w:rFonts w:ascii="仿宋_GB2312" w:hAnsi="仿宋_GB2312" w:cs="仿宋_GB2312" w:eastAsia="仿宋_GB2312"/>
        </w:rPr>
        <w:t>联系电话：18302958248</w:t>
      </w:r>
    </w:p>
    <w:p>
      <w:pPr>
        <w:pStyle w:val="null3"/>
      </w:pPr>
      <w:r>
        <w:rPr>
          <w:rFonts w:ascii="仿宋_GB2312" w:hAnsi="仿宋_GB2312" w:cs="仿宋_GB2312" w:eastAsia="仿宋_GB2312"/>
        </w:rPr>
        <w:t>地址：陕西省西安市灞桥区长乐东路民政局家属院一号楼二单元1001号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1,379,800.00</w:t>
      </w:r>
    </w:p>
    <w:p>
      <w:pPr>
        <w:pStyle w:val="null3"/>
      </w:pPr>
      <w:r>
        <w:rPr>
          <w:rFonts w:ascii="仿宋_GB2312" w:hAnsi="仿宋_GB2312" w:cs="仿宋_GB2312" w:eastAsia="仿宋_GB2312"/>
        </w:rPr>
        <w:t>采购包最高限价（元）: 1,378,147.90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孟村镇集体经济大棚修复项目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1,379,800.00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标的名称：孟村镇集体经济大棚修复项目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工程内容和实施地点、计划工期、缺陷责任期、质量保修期</w:t>
            </w:r>
          </w:p>
          <w:p>
            <w:pPr>
              <w:pStyle w:val="null3"/>
              <w:ind w:firstLine="420"/>
              <w:jc w:val="both"/>
            </w:pPr>
            <w:r>
              <w:rPr>
                <w:rFonts w:ascii="仿宋_GB2312" w:hAnsi="仿宋_GB2312" w:cs="仿宋_GB2312" w:eastAsia="仿宋_GB2312"/>
                <w:sz w:val="28"/>
              </w:rPr>
              <w:t>1、项目名称：孟村镇集体经济大棚修复项目</w:t>
            </w:r>
          </w:p>
          <w:p>
            <w:pPr>
              <w:pStyle w:val="null3"/>
              <w:ind w:firstLine="420"/>
              <w:jc w:val="both"/>
            </w:pPr>
            <w:r>
              <w:rPr>
                <w:rFonts w:ascii="仿宋_GB2312" w:hAnsi="仿宋_GB2312" w:cs="仿宋_GB2312" w:eastAsia="仿宋_GB2312"/>
                <w:sz w:val="28"/>
              </w:rPr>
              <w:t>2、建设单位：蓝田县孟村镇人民政府</w:t>
            </w:r>
          </w:p>
          <w:p>
            <w:pPr>
              <w:pStyle w:val="null3"/>
              <w:ind w:firstLine="420"/>
              <w:jc w:val="both"/>
            </w:pPr>
            <w:r>
              <w:rPr>
                <w:rFonts w:ascii="仿宋_GB2312" w:hAnsi="仿宋_GB2312" w:cs="仿宋_GB2312" w:eastAsia="仿宋_GB2312"/>
                <w:sz w:val="28"/>
              </w:rPr>
              <w:t>3、建设规模及内容：修复受损总棚数205栋，其中变形28栋，PO膜受损142栋，棚头及入户门受损35栋。</w:t>
            </w:r>
          </w:p>
          <w:p>
            <w:pPr>
              <w:pStyle w:val="null3"/>
              <w:ind w:firstLine="420"/>
              <w:jc w:val="both"/>
            </w:pPr>
            <w:r>
              <w:rPr>
                <w:rFonts w:ascii="仿宋_GB2312" w:hAnsi="仿宋_GB2312" w:cs="仿宋_GB2312" w:eastAsia="仿宋_GB2312"/>
                <w:sz w:val="28"/>
              </w:rPr>
              <w:t>4、建设地点：西安市蓝田县</w:t>
            </w:r>
          </w:p>
          <w:p>
            <w:pPr>
              <w:pStyle w:val="null3"/>
              <w:ind w:firstLine="420"/>
              <w:jc w:val="both"/>
            </w:pPr>
            <w:r>
              <w:rPr>
                <w:rFonts w:ascii="仿宋_GB2312" w:hAnsi="仿宋_GB2312" w:cs="仿宋_GB2312" w:eastAsia="仿宋_GB2312"/>
                <w:sz w:val="28"/>
              </w:rPr>
              <w:t>5、计划工期：合同签订之日起60个日历日。</w:t>
            </w:r>
          </w:p>
          <w:p>
            <w:pPr>
              <w:pStyle w:val="null3"/>
              <w:ind w:firstLine="420"/>
              <w:jc w:val="both"/>
            </w:pPr>
            <w:r>
              <w:rPr>
                <w:rFonts w:ascii="仿宋_GB2312" w:hAnsi="仿宋_GB2312" w:cs="仿宋_GB2312" w:eastAsia="仿宋_GB2312"/>
                <w:sz w:val="28"/>
              </w:rPr>
              <w:t>7、缺陷责任期：自竣工验收合格之日起12个月。</w:t>
            </w:r>
          </w:p>
          <w:p>
            <w:pPr>
              <w:pStyle w:val="null3"/>
              <w:ind w:firstLine="420"/>
              <w:jc w:val="both"/>
            </w:pPr>
            <w:r>
              <w:rPr>
                <w:rFonts w:ascii="仿宋_GB2312" w:hAnsi="仿宋_GB2312" w:cs="仿宋_GB2312" w:eastAsia="仿宋_GB2312"/>
                <w:sz w:val="28"/>
              </w:rPr>
              <w:t>8、质量保修期：不少于12个月。</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工程量清单和计价依据</w:t>
            </w:r>
          </w:p>
          <w:p>
            <w:pPr>
              <w:pStyle w:val="null3"/>
              <w:ind w:firstLine="560"/>
              <w:jc w:val="both"/>
            </w:pPr>
            <w:r>
              <w:rPr>
                <w:rFonts w:ascii="仿宋_GB2312" w:hAnsi="仿宋_GB2312" w:cs="仿宋_GB2312" w:eastAsia="仿宋_GB2312"/>
                <w:sz w:val="28"/>
              </w:rPr>
              <w:t>1、《陕西省建设工程工程量清单计价计算标准》(2025年)；</w:t>
            </w:r>
          </w:p>
          <w:p>
            <w:pPr>
              <w:pStyle w:val="null3"/>
              <w:ind w:firstLine="560"/>
              <w:jc w:val="both"/>
            </w:pPr>
            <w:r>
              <w:rPr>
                <w:rFonts w:ascii="仿宋_GB2312" w:hAnsi="仿宋_GB2312" w:cs="仿宋_GB2312" w:eastAsia="仿宋_GB2312"/>
                <w:sz w:val="28"/>
              </w:rPr>
              <w:t>2、陕西中赫科技集团有限公司设计的蓝田县孟村镇集体经济大棚修复项目设计图纸；</w:t>
            </w:r>
          </w:p>
          <w:p>
            <w:pPr>
              <w:pStyle w:val="null3"/>
              <w:ind w:firstLine="560"/>
              <w:jc w:val="both"/>
            </w:pPr>
            <w:r>
              <w:rPr>
                <w:rFonts w:ascii="仿宋_GB2312" w:hAnsi="仿宋_GB2312" w:cs="仿宋_GB2312" w:eastAsia="仿宋_GB2312"/>
                <w:sz w:val="28"/>
              </w:rPr>
              <w:t>3、与建设工程项目有关的标准、规范、图集、技术资料；</w:t>
            </w:r>
          </w:p>
          <w:p>
            <w:pPr>
              <w:pStyle w:val="null3"/>
              <w:ind w:firstLine="560"/>
              <w:jc w:val="both"/>
            </w:pPr>
            <w:r>
              <w:rPr>
                <w:rFonts w:ascii="仿宋_GB2312" w:hAnsi="仿宋_GB2312" w:cs="仿宋_GB2312" w:eastAsia="仿宋_GB2312"/>
                <w:sz w:val="28"/>
              </w:rPr>
              <w:t>4、《陕西省房屋建筑与装饰工程基价表》（2025），《陕西省建筑、装饰工程消耗量定额》（2025），《陕西省安装工程消耗量定额》（2025），《陕西省市政园林绿化工程消耗量定额》（2025年）、《陕西省建设工程消耗量定额补充定额》（2004），与定额相配套使用的《陕西省建筑装饰市政园林绿化工程价目表》（2025），《陕西省安装工程价目表》（2025），《陕西省建设工程工程量清单计价费率》（2025）及其他相关的计价依据和办法；</w:t>
            </w:r>
          </w:p>
          <w:p>
            <w:pPr>
              <w:pStyle w:val="null3"/>
              <w:ind w:firstLine="560"/>
              <w:jc w:val="both"/>
            </w:pPr>
            <w:r>
              <w:rPr>
                <w:rFonts w:ascii="仿宋_GB2312" w:hAnsi="仿宋_GB2312" w:cs="仿宋_GB2312" w:eastAsia="仿宋_GB2312"/>
                <w:sz w:val="28"/>
              </w:rPr>
              <w:t>5、正常的施工组织设计及常规施工方案编制；</w:t>
            </w:r>
          </w:p>
          <w:p>
            <w:pPr>
              <w:pStyle w:val="null3"/>
              <w:ind w:firstLine="560"/>
              <w:jc w:val="both"/>
            </w:pPr>
            <w:r>
              <w:rPr>
                <w:rFonts w:ascii="仿宋_GB2312" w:hAnsi="仿宋_GB2312" w:cs="仿宋_GB2312" w:eastAsia="仿宋_GB2312"/>
                <w:sz w:val="28"/>
              </w:rPr>
              <w:t>6、规费及安全文明施工措施费按规定计入；</w:t>
            </w:r>
          </w:p>
          <w:p>
            <w:pPr>
              <w:pStyle w:val="null3"/>
              <w:ind w:firstLine="560"/>
              <w:jc w:val="both"/>
            </w:pPr>
            <w:r>
              <w:rPr>
                <w:rFonts w:ascii="仿宋_GB2312" w:hAnsi="仿宋_GB2312" w:cs="仿宋_GB2312" w:eastAsia="仿宋_GB2312"/>
                <w:sz w:val="28"/>
              </w:rPr>
              <w:t>7、材料价参照陕西省信息价（2025年8月）、蓝田县信息价（2025年7月）及市场价；</w:t>
            </w:r>
          </w:p>
          <w:p>
            <w:pPr>
              <w:pStyle w:val="null3"/>
              <w:ind w:firstLine="560"/>
              <w:jc w:val="both"/>
            </w:pPr>
            <w:r>
              <w:rPr>
                <w:rFonts w:ascii="仿宋_GB2312" w:hAnsi="仿宋_GB2312" w:cs="仿宋_GB2312" w:eastAsia="仿宋_GB2312"/>
                <w:sz w:val="28"/>
              </w:rPr>
              <w:t>8、编制软件版本采用广联达计价软件“广联达云计价平台GCC7.0”（7.5000.23.1）。</w:t>
            </w:r>
          </w:p>
          <w:p>
            <w:pPr>
              <w:pStyle w:val="null3"/>
              <w:ind w:firstLine="560"/>
              <w:jc w:val="both"/>
            </w:pPr>
            <w:r>
              <w:rPr>
                <w:rFonts w:ascii="仿宋_GB2312" w:hAnsi="仿宋_GB2312" w:cs="仿宋_GB2312" w:eastAsia="仿宋_GB2312"/>
                <w:sz w:val="28"/>
              </w:rPr>
              <w:t>2、工程量清单</w:t>
            </w:r>
          </w:p>
          <w:p>
            <w:pPr>
              <w:pStyle w:val="null3"/>
              <w:ind w:firstLine="560"/>
              <w:jc w:val="both"/>
            </w:pPr>
            <w:r>
              <w:rPr>
                <w:rFonts w:ascii="仿宋_GB2312" w:hAnsi="仿宋_GB2312" w:cs="仿宋_GB2312" w:eastAsia="仿宋_GB2312"/>
                <w:sz w:val="28"/>
              </w:rPr>
              <w:t>详见工程量清单</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施工要求</w:t>
            </w:r>
          </w:p>
          <w:p>
            <w:pPr>
              <w:pStyle w:val="null3"/>
              <w:ind w:firstLine="560"/>
              <w:jc w:val="both"/>
            </w:pPr>
            <w:r>
              <w:rPr>
                <w:rFonts w:ascii="仿宋_GB2312" w:hAnsi="仿宋_GB2312" w:cs="仿宋_GB2312" w:eastAsia="仿宋_GB2312"/>
                <w:sz w:val="28"/>
              </w:rPr>
              <w:t>在施工期间，中标人必须注意施工人员的人身安全，加强安全措施，并对施工人员进行安全教育。</w:t>
            </w:r>
          </w:p>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合同价款：本项目为固定总价合同。</w:t>
            </w:r>
          </w:p>
          <w:p>
            <w:pPr>
              <w:pStyle w:val="null3"/>
              <w:ind w:left="420"/>
              <w:jc w:val="both"/>
            </w:pPr>
            <w:r>
              <w:rPr>
                <w:rFonts w:ascii="仿宋_GB2312" w:hAnsi="仿宋_GB2312" w:cs="仿宋_GB2312" w:eastAsia="仿宋_GB2312"/>
                <w:sz w:val="28"/>
              </w:rPr>
              <w:t>2、</w:t>
            </w:r>
            <w:r>
              <w:rPr>
                <w:rFonts w:ascii="仿宋_GB2312" w:hAnsi="仿宋_GB2312" w:cs="仿宋_GB2312" w:eastAsia="仿宋_GB2312"/>
                <w:sz w:val="28"/>
              </w:rPr>
              <w:t>款项结算：</w:t>
            </w:r>
          </w:p>
          <w:p>
            <w:pPr>
              <w:pStyle w:val="null3"/>
              <w:ind w:firstLine="560"/>
              <w:jc w:val="both"/>
            </w:pPr>
            <w:r>
              <w:rPr>
                <w:rFonts w:ascii="仿宋_GB2312" w:hAnsi="仿宋_GB2312" w:cs="仿宋_GB2312" w:eastAsia="仿宋_GB2312"/>
                <w:sz w:val="28"/>
              </w:rPr>
              <w:t>1）合同签订材料进场后，甲方向乙方支付合同总价款的40%作为预付款 ；</w:t>
            </w:r>
          </w:p>
          <w:p>
            <w:pPr>
              <w:pStyle w:val="null3"/>
              <w:ind w:firstLine="560"/>
              <w:jc w:val="both"/>
            </w:pPr>
            <w:r>
              <w:rPr>
                <w:rFonts w:ascii="仿宋_GB2312" w:hAnsi="仿宋_GB2312" w:cs="仿宋_GB2312" w:eastAsia="仿宋_GB2312"/>
                <w:sz w:val="28"/>
              </w:rPr>
              <w:t>2）乙方完成全部工程量时，经甲方组织有关部门验收合格后，甲方向乙方支付至合同总价款的 80%；</w:t>
            </w:r>
          </w:p>
          <w:p>
            <w:pPr>
              <w:pStyle w:val="null3"/>
              <w:ind w:firstLine="560"/>
              <w:jc w:val="both"/>
            </w:pPr>
            <w:r>
              <w:rPr>
                <w:rFonts w:ascii="仿宋_GB2312" w:hAnsi="仿宋_GB2312" w:cs="仿宋_GB2312" w:eastAsia="仿宋_GB2312"/>
                <w:sz w:val="28"/>
              </w:rPr>
              <w:t>3）经政府相关审计部门审计完成后，支付至审计</w:t>
            </w:r>
            <w:r>
              <w:rPr>
                <w:rFonts w:ascii="仿宋_GB2312" w:hAnsi="仿宋_GB2312" w:cs="仿宋_GB2312" w:eastAsia="仿宋_GB2312"/>
                <w:sz w:val="28"/>
              </w:rPr>
              <w:t>结算</w:t>
            </w:r>
            <w:r>
              <w:rPr>
                <w:rFonts w:ascii="仿宋_GB2312" w:hAnsi="仿宋_GB2312" w:cs="仿宋_GB2312" w:eastAsia="仿宋_GB2312"/>
                <w:sz w:val="28"/>
              </w:rPr>
              <w:t>价款的</w:t>
            </w:r>
            <w:r>
              <w:rPr>
                <w:rFonts w:ascii="仿宋_GB2312" w:hAnsi="仿宋_GB2312" w:cs="仿宋_GB2312" w:eastAsia="仿宋_GB2312"/>
                <w:sz w:val="28"/>
              </w:rPr>
              <w:t>97%，剩余3%待缺陷责任期满后一次性无息支付。</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其他</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对供应商的业绩要求</w:t>
            </w:r>
          </w:p>
          <w:p>
            <w:pPr>
              <w:pStyle w:val="null3"/>
              <w:ind w:left="420" w:firstLine="504"/>
              <w:jc w:val="both"/>
            </w:pPr>
            <w:r>
              <w:rPr>
                <w:rFonts w:ascii="仿宋_GB2312" w:hAnsi="仿宋_GB2312" w:cs="仿宋_GB2312" w:eastAsia="仿宋_GB2312"/>
                <w:sz w:val="28"/>
              </w:rPr>
              <w:t>提供</w:t>
            </w:r>
            <w:r>
              <w:rPr>
                <w:rFonts w:ascii="仿宋_GB2312" w:hAnsi="仿宋_GB2312" w:cs="仿宋_GB2312" w:eastAsia="仿宋_GB2312"/>
                <w:sz w:val="28"/>
              </w:rPr>
              <w:t>20</w:t>
            </w:r>
            <w:r>
              <w:rPr>
                <w:rFonts w:ascii="仿宋_GB2312" w:hAnsi="仿宋_GB2312" w:cs="仿宋_GB2312" w:eastAsia="仿宋_GB2312"/>
                <w:sz w:val="28"/>
              </w:rPr>
              <w:t>22</w:t>
            </w:r>
            <w:r>
              <w:rPr>
                <w:rFonts w:ascii="仿宋_GB2312" w:hAnsi="仿宋_GB2312" w:cs="仿宋_GB2312" w:eastAsia="仿宋_GB2312"/>
                <w:sz w:val="28"/>
              </w:rPr>
              <w:t>年</w:t>
            </w:r>
            <w:r>
              <w:rPr>
                <w:rFonts w:ascii="仿宋_GB2312" w:hAnsi="仿宋_GB2312" w:cs="仿宋_GB2312" w:eastAsia="仿宋_GB2312"/>
                <w:sz w:val="28"/>
              </w:rPr>
              <w:t>8</w:t>
            </w:r>
            <w:r>
              <w:rPr>
                <w:rFonts w:ascii="仿宋_GB2312" w:hAnsi="仿宋_GB2312" w:cs="仿宋_GB2312" w:eastAsia="仿宋_GB2312"/>
                <w:sz w:val="28"/>
              </w:rPr>
              <w:t>月</w:t>
            </w:r>
            <w:r>
              <w:rPr>
                <w:rFonts w:ascii="仿宋_GB2312" w:hAnsi="仿宋_GB2312" w:cs="仿宋_GB2312" w:eastAsia="仿宋_GB2312"/>
                <w:sz w:val="28"/>
              </w:rPr>
              <w:t>1</w:t>
            </w:r>
            <w:r>
              <w:rPr>
                <w:rFonts w:ascii="仿宋_GB2312" w:hAnsi="仿宋_GB2312" w:cs="仿宋_GB2312" w:eastAsia="仿宋_GB2312"/>
                <w:sz w:val="28"/>
              </w:rPr>
              <w:t>日以来</w:t>
            </w:r>
            <w:r>
              <w:rPr>
                <w:rFonts w:ascii="仿宋_GB2312" w:hAnsi="仿宋_GB2312" w:cs="仿宋_GB2312" w:eastAsia="仿宋_GB2312"/>
                <w:sz w:val="28"/>
              </w:rPr>
              <w:t>类似</w:t>
            </w:r>
            <w:r>
              <w:rPr>
                <w:rFonts w:ascii="仿宋_GB2312" w:hAnsi="仿宋_GB2312" w:cs="仿宋_GB2312" w:eastAsia="仿宋_GB2312"/>
                <w:sz w:val="28"/>
              </w:rPr>
              <w:t>项目业绩，以合同签订日期为准，并加盖供应</w:t>
            </w:r>
            <w:r>
              <w:rPr>
                <w:rFonts w:ascii="仿宋_GB2312" w:hAnsi="仿宋_GB2312" w:cs="仿宋_GB2312" w:eastAsia="仿宋_GB2312"/>
                <w:sz w:val="28"/>
              </w:rPr>
              <w:t>商公章的合同关键页复印件。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质量验收标准或规范</w:t>
            </w:r>
          </w:p>
          <w:p>
            <w:pPr>
              <w:pStyle w:val="null3"/>
              <w:ind w:left="420" w:firstLine="280"/>
              <w:jc w:val="both"/>
            </w:pPr>
            <w:r>
              <w:rPr>
                <w:rFonts w:ascii="仿宋_GB2312" w:hAnsi="仿宋_GB2312" w:cs="仿宋_GB2312" w:eastAsia="仿宋_GB2312"/>
                <w:sz w:val="28"/>
              </w:rPr>
              <w:t>质量标准：</w:t>
            </w:r>
            <w:r>
              <w:rPr>
                <w:rFonts w:ascii="仿宋_GB2312" w:hAnsi="仿宋_GB2312" w:cs="仿宋_GB2312" w:eastAsia="仿宋_GB2312"/>
                <w:sz w:val="28"/>
              </w:rPr>
              <w:t>达到国家规定的合格标准</w:t>
            </w:r>
          </w:p>
          <w:p>
            <w:pPr>
              <w:pStyle w:val="null3"/>
              <w:ind w:left="420" w:firstLine="280"/>
              <w:jc w:val="both"/>
            </w:pPr>
            <w:r>
              <w:rPr>
                <w:rFonts w:ascii="仿宋_GB2312" w:hAnsi="仿宋_GB2312" w:cs="仿宋_GB2312" w:eastAsia="仿宋_GB2312"/>
                <w:sz w:val="28"/>
              </w:rPr>
              <w:t>验收标准或规范：</w:t>
            </w:r>
            <w:r>
              <w:rPr>
                <w:rFonts w:ascii="仿宋_GB2312" w:hAnsi="仿宋_GB2312" w:cs="仿宋_GB2312" w:eastAsia="仿宋_GB2312"/>
                <w:sz w:val="28"/>
              </w:rPr>
              <w:t>达到国家标准，行业标准及采购人要求。</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违约责任</w:t>
            </w:r>
          </w:p>
          <w:p>
            <w:pPr>
              <w:pStyle w:val="null3"/>
              <w:ind w:firstLine="560"/>
              <w:jc w:val="both"/>
            </w:pPr>
            <w:r>
              <w:rPr>
                <w:rFonts w:ascii="仿宋_GB2312" w:hAnsi="仿宋_GB2312" w:cs="仿宋_GB2312" w:eastAsia="仿宋_GB2312"/>
                <w:sz w:val="28"/>
              </w:rPr>
              <w:t>供应商</w:t>
            </w:r>
            <w:r>
              <w:rPr>
                <w:rFonts w:ascii="仿宋_GB2312" w:hAnsi="仿宋_GB2312" w:cs="仿宋_GB2312" w:eastAsia="仿宋_GB2312"/>
                <w:sz w:val="28"/>
              </w:rPr>
              <w:t>应按照合同规定的期限完成</w:t>
            </w:r>
            <w:r>
              <w:rPr>
                <w:rFonts w:ascii="仿宋_GB2312" w:hAnsi="仿宋_GB2312" w:cs="仿宋_GB2312" w:eastAsia="仿宋_GB2312"/>
                <w:sz w:val="28"/>
              </w:rPr>
              <w:t>工程</w:t>
            </w:r>
            <w:r>
              <w:rPr>
                <w:rFonts w:ascii="仿宋_GB2312" w:hAnsi="仿宋_GB2312" w:cs="仿宋_GB2312" w:eastAsia="仿宋_GB2312"/>
                <w:sz w:val="28"/>
              </w:rPr>
              <w:t>，每延迟一天应承担当期应付款</w:t>
            </w:r>
            <w:r>
              <w:rPr>
                <w:rFonts w:ascii="仿宋_GB2312" w:hAnsi="仿宋_GB2312" w:cs="仿宋_GB2312" w:eastAsia="仿宋_GB2312"/>
                <w:sz w:val="28"/>
              </w:rPr>
              <w:t>2%的违约金，违约金累计不超过当期应付款10%。若违约金累计已达上限，乙方仍未履行，甲方有权解除合同。</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与本工程相关的特别说明</w:t>
            </w:r>
          </w:p>
          <w:p>
            <w:pPr>
              <w:pStyle w:val="null3"/>
              <w:ind w:left="420"/>
              <w:jc w:val="both"/>
            </w:pPr>
            <w:r>
              <w:rPr>
                <w:rFonts w:ascii="仿宋_GB2312" w:hAnsi="仿宋_GB2312" w:cs="仿宋_GB2312" w:eastAsia="仿宋_GB2312"/>
                <w:sz w:val="28"/>
              </w:rPr>
              <w:t xml:space="preserve">   </w:t>
            </w:r>
            <w:r>
              <w:rPr>
                <w:rFonts w:ascii="仿宋_GB2312" w:hAnsi="仿宋_GB2312" w:cs="仿宋_GB2312" w:eastAsia="仿宋_GB2312"/>
                <w:sz w:val="28"/>
              </w:rPr>
              <w:t>无</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达到国家标准，行业标准及采购人要求。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竞争性磋商文件第六章6.3.4：“（五）若采用项目包干价的，供应商直接给出其完成本项目全部工作内容所需的总价，不再提供已标价工程量清单（报价格式要求见第六章）。”为系统自动生成内容，无法更改，本项目需要提供已标价工程量清单。 （3）“若供应商的最后报价只有一个总价，则供应商应当提交相应调整部分的报价构成及明细，并结合首次报价提供的已标价工程量清单，重新计算总报价。”为系统自动生成，无法更改，本项目二次报价只需填报项目总报价。 （4）本项目不统一组织踏勘。各投标供应商可自行前往采购人处实地踏勘，相关费用及安全由供应商自行承担。凡因对本项目现场及环境、市场行情等了解不清而造成的后果和风险，或因供应商对竞争性磋商文件阅读疏忽或误解，均由供应商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须提供2024年度的经审计的财务报告（至 少包括三表一注，成立时间至提交响应文 件截止时间不足一年的可提供成立后任意 时段的资产负债表），或招标前三个月内 开户银行出具的资信证明（附开户许可证 或开户银行证明）； 供应商需在项目电子 化交易系统中按要求上传相应证明文件并 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法定代表人参加投标时，提供法定代表人身份证明和本人身份证；授权代表参加投标时，提供法定代表人授权书和被授权人身份证；非法人单位参照执行；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须提供建设行政主管部门颁发建筑工程施工总承包三级（含三级）及以上资质，并具有合格有效的安全生产许可证；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拟派项目经理须具备建筑工程专业二级注册建造师及安全生产考核合格证书，在本单位注册且无在建工程和不良记录（提供无在建工程、无不良记录承诺书）；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供应商信用要求</w:t>
            </w:r>
          </w:p>
        </w:tc>
        <w:tc>
          <w:tcPr>
            <w:tcW w:type="dxa" w:w="3322"/>
          </w:tcPr>
          <w:p>
            <w:pPr>
              <w:pStyle w:val="null3"/>
            </w:pPr>
            <w:r>
              <w:rPr>
                <w:rFonts w:ascii="仿宋_GB2312" w:hAnsi="仿宋_GB2312" w:cs="仿宋_GB2312" w:eastAsia="仿宋_GB2312"/>
              </w:rPr>
              <w:t>1）供应商在“全国建筑市场监管公共服务平台”可查询到企业及项目负责人基本信息； 2）出具参加本次政府采购活动前三年内在经营活动中没有重大违法记录的书面声明； 3）供应商不得为“信用中国”网站（www.creditchina.gov.cn）中列入失信被执行人和重大税收违法失信主体名单的投标人，不得为中国政府采购网（www.ccgp.gov.cn）政府采购严重违法失信行为记录名单中被财政部门禁止参加政府采购活动的投标人；在国家企业信用信息公示系统未被列入严重违法失信企业名单。（以采购代理机构在响应文件递交截止时间后当天查询记录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度的经审计的财务报告（至少包括三表一注，成立时间至提交响应文件截止时间不足一年的可提供成立后任意时段的资产负债表），或招标前三个月内开户银行出具的资信证明（附开户许可证或开户银行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提供响应文件递交时间前三个月内至少一个月已缴纳的纳税证明或完税证明凭据；其他组织和自然人提供响应文件递交时间前一年内至少一个月缴纳税收的凭据；依法免税的投标人应提供相关文件证明；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提供响应文件递交时间前三个月至少一个月已缴纳的社会保障资金的凭据（专用收据或社会保险缴纳清单）；依法不需要缴纳社会保障资金的投标人应提供相关文件证明；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 中小企业声明函 残疾人福利性单位声明函 拒绝政府采购领域商业贿赂承诺书.docx 报价函 标的清单 响应函 资格证明文件.docx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 中小企业声明函 残疾人福利性单位声明函 拒绝政府采购领域商业贿赂承诺书.docx 报价函 标的清单 响应函 资格证明文件.docx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技术方案内容完全满足所有评审标准得7.0分；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技术方案内容完全满足所有评审标准得7.0分；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技术方案内容完全满足所有评审标准得7.0分；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技术方案内容完全满足所有评审标准得7.0分；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技术方案内容完全满足所有评审标准得7.0分；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技术方案内容完全满足所有评审标准得6.0分；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二、赋分标准技术方案内容完全满足所有评审标准得6.0分；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2022年08月01日（以合同签订日期为准）类似项目业绩（以合同复印件或扫描件加盖公章为准）每个有效业绩得2.5分，满分共计5分。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