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659D4C3C">
      <w:pPr>
        <w:spacing w:beforeLines="0" w:afterLines="0"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w:t>
      </w:r>
      <w:r>
        <w:rPr>
          <w:rFonts w:hint="eastAsia" w:ascii="宋体" w:hAnsi="宋体" w:eastAsia="宋体" w:cs="宋体"/>
          <w:color w:val="auto"/>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p>
    <w:p w14:paraId="1111F2B9">
      <w:pPr>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1979BFFC">
      <w:pPr>
        <w:spacing w:beforeLines="0" w:afterLines="0" w:line="360" w:lineRule="auto"/>
        <w:ind w:firstLine="480" w:firstLineChars="200"/>
        <w:jc w:val="left"/>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1"/>
          <w:highlight w:val="none"/>
          <w:lang w:val="en-US" w:eastAsia="zh-CN"/>
        </w:rPr>
        <w:t>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p w14:paraId="4A7961E3">
      <w:pPr>
        <w:spacing w:beforeLines="0" w:afterLines="0" w:line="360" w:lineRule="auto"/>
        <w:ind w:firstLine="480" w:firstLineChars="200"/>
        <w:jc w:val="left"/>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1"/>
          <w:highlight w:val="none"/>
          <w:lang w:val="en-US" w:eastAsia="zh-CN"/>
        </w:rPr>
        <w:t xml:space="preserve">提供响应文件递交时间前三个月至少一个月已缴纳的社会保障资金的凭据（专用收据或社会保险缴纳清单）；依法不需要缴纳社会保障资金的投标人应提供相关文件证明； </w:t>
      </w:r>
    </w:p>
    <w:p w14:paraId="5762D4F6">
      <w:pPr>
        <w:spacing w:beforeLines="0" w:afterLines="0" w:line="360" w:lineRule="auto"/>
        <w:ind w:firstLine="480" w:firstLineChars="200"/>
        <w:jc w:val="left"/>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1"/>
          <w:highlight w:val="none"/>
          <w:lang w:val="en-US" w:eastAsia="zh-CN"/>
        </w:rPr>
        <w:t>提供响应文件递交时间前三个月内至少一个月已缴纳的纳税证明或完税证明凭据；其他组织和自然人提供响应文件递交时间前一年内至少一个月缴纳税收的凭据；依法免税的投标人应提供相关文件证明；</w:t>
      </w:r>
    </w:p>
    <w:p w14:paraId="2C45C365">
      <w:pPr>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4F23CF95">
      <w:pPr>
        <w:spacing w:beforeLines="0" w:afterLines="0" w:line="360" w:lineRule="auto"/>
        <w:ind w:firstLine="480" w:firstLineChars="200"/>
        <w:jc w:val="left"/>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rPr>
        <w:t xml:space="preserve">附件7 </w:t>
      </w:r>
      <w:r>
        <w:rPr>
          <w:rFonts w:hint="eastAsia" w:ascii="宋体" w:hAnsi="宋体" w:eastAsia="宋体" w:cs="宋体"/>
          <w:color w:val="auto"/>
          <w:sz w:val="24"/>
          <w:szCs w:val="21"/>
          <w:highlight w:val="none"/>
          <w:lang w:val="en-US" w:eastAsia="zh-CN"/>
        </w:rPr>
        <w:t xml:space="preserve">具备履行合同所必需的设备和专业技术能力的证明材料(由投标人根据项目需求提供说明材料或者承诺)； </w:t>
      </w:r>
    </w:p>
    <w:p w14:paraId="46F0DEF7">
      <w:pPr>
        <w:spacing w:beforeLines="0" w:afterLines="0" w:line="360" w:lineRule="auto"/>
        <w:ind w:firstLine="480" w:firstLineChars="200"/>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ind w:firstLine="480" w:firstLineChars="200"/>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1E96EA00">
      <w:pPr>
        <w:spacing w:beforeLines="0" w:afterLines="0"/>
        <w:ind w:firstLine="480" w:firstLineChars="200"/>
        <w:rPr>
          <w:rFonts w:hint="eastAsia" w:ascii="宋体" w:hAnsi="宋体" w:eastAsia="宋体" w:cs="宋体"/>
          <w:color w:val="auto"/>
          <w:sz w:val="24"/>
          <w:szCs w:val="24"/>
          <w:highlight w:val="none"/>
          <w:lang w:val="en-US" w:eastAsia="zh-CN"/>
        </w:rPr>
      </w:pPr>
      <w:bookmarkStart w:id="0" w:name="_Toc24832"/>
      <w:bookmarkStart w:id="1" w:name="_Toc19698"/>
      <w:bookmarkStart w:id="2" w:name="_Toc15371"/>
      <w:bookmarkStart w:id="3" w:name="_Toc24599"/>
      <w:bookmarkStart w:id="4" w:name="_Toc11646"/>
      <w:bookmarkStart w:id="5" w:name="_Toc24657"/>
      <w:bookmarkStart w:id="6" w:name="_Toc12680"/>
      <w:bookmarkStart w:id="7" w:name="_Toc23073"/>
      <w:bookmarkStart w:id="8" w:name="_Toc2669"/>
      <w:r>
        <w:rPr>
          <w:rFonts w:hint="eastAsia" w:ascii="宋体" w:hAnsi="宋体" w:eastAsia="宋体" w:cs="宋体"/>
          <w:color w:val="auto"/>
          <w:sz w:val="24"/>
          <w:szCs w:val="24"/>
          <w:highlight w:val="none"/>
        </w:rPr>
        <w:t xml:space="preserve">附件1 </w:t>
      </w:r>
      <w:bookmarkEnd w:id="0"/>
      <w:bookmarkEnd w:id="1"/>
      <w:bookmarkEnd w:id="2"/>
      <w:r>
        <w:rPr>
          <w:rFonts w:hint="eastAsia" w:ascii="宋体" w:hAnsi="宋体" w:eastAsia="宋体" w:cs="宋体"/>
          <w:color w:val="auto"/>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677BE319">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28C90736">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3248"/>
      <w:bookmarkStart w:id="13" w:name="_Toc31211"/>
      <w:bookmarkStart w:id="14" w:name="_Toc7380"/>
      <w:bookmarkStart w:id="15" w:name="_Toc23284"/>
      <w:bookmarkStart w:id="16" w:name="_Toc16432"/>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3177B5FB">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3768"/>
      <w:bookmarkStart w:id="19" w:name="_Toc25095"/>
      <w:bookmarkStart w:id="20" w:name="_Toc10272"/>
      <w:bookmarkStart w:id="21" w:name="_Toc332805172"/>
      <w:bookmarkStart w:id="22" w:name="_Toc332805617"/>
      <w:bookmarkStart w:id="23" w:name="_Toc4514"/>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90810">
      <w:pPr>
        <w:pStyle w:val="4"/>
        <w:spacing w:beforeLines="0" w:afterLines="0"/>
        <w:ind w:firstLine="482" w:firstLineChars="200"/>
        <w:jc w:val="both"/>
        <w:rPr>
          <w:rFonts w:hint="eastAsia" w:ascii="宋体" w:hAnsi="宋体" w:eastAsia="宋体" w:cs="宋体"/>
          <w:b w:val="0"/>
          <w:bCs w:val="0"/>
          <w:color w:val="auto"/>
          <w:sz w:val="24"/>
          <w:szCs w:val="21"/>
          <w:highlight w:val="none"/>
          <w:lang w:val="en-US" w:eastAsia="zh-CN"/>
        </w:rPr>
      </w:pPr>
      <w:r>
        <w:rPr>
          <w:rFonts w:hint="eastAsia" w:ascii="宋体" w:hAnsi="宋体" w:eastAsia="宋体" w:cs="宋体"/>
          <w:color w:val="auto"/>
          <w:sz w:val="24"/>
          <w:szCs w:val="21"/>
          <w:highlight w:val="none"/>
          <w:lang w:val="en-US" w:eastAsia="zh-CN"/>
        </w:rPr>
        <w:t xml:space="preserve"> </w:t>
      </w:r>
      <w:bookmarkStart w:id="24" w:name="_Toc11122"/>
      <w:bookmarkStart w:id="25" w:name="_Toc13992"/>
      <w:r>
        <w:rPr>
          <w:rFonts w:hint="eastAsia" w:ascii="宋体" w:hAnsi="宋体" w:eastAsia="宋体" w:cs="宋体"/>
          <w:b w:val="0"/>
          <w:bCs w:val="0"/>
          <w:color w:val="auto"/>
          <w:sz w:val="24"/>
          <w:szCs w:val="21"/>
          <w:highlight w:val="none"/>
          <w:lang w:val="en-US" w:eastAsia="zh-CN"/>
        </w:rPr>
        <w:t>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p w14:paraId="6B7B6A8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5A91309">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D0D0959">
      <w:pPr>
        <w:spacing w:beforeLines="0" w:afterLines="0" w:line="360" w:lineRule="auto"/>
        <w:ind w:firstLine="480" w:firstLineChars="200"/>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lang w:val="en-US" w:eastAsia="zh-CN"/>
        </w:rPr>
        <w:t>提供响应文件递交时间前三个月至少一个月已缴纳的社会保障资金的凭据（专用收据或社会保险缴纳清单）；依法不需要缴纳社会保障资金的投标人应提供相关文件证明。</w:t>
      </w:r>
    </w:p>
    <w:p w14:paraId="774327C4">
      <w:pPr>
        <w:spacing w:beforeLines="0" w:afterLines="0" w:line="360" w:lineRule="auto"/>
        <w:ind w:firstLine="480" w:firstLineChars="200"/>
        <w:rPr>
          <w:rFonts w:hint="eastAsia" w:ascii="宋体" w:hAnsi="宋体" w:eastAsia="宋体" w:cs="宋体"/>
          <w:color w:val="auto"/>
          <w:sz w:val="24"/>
          <w:szCs w:val="21"/>
          <w:highlight w:val="none"/>
        </w:rPr>
      </w:pP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173"/>
      <w:bookmarkStart w:id="27" w:name="_Toc332805618"/>
      <w:bookmarkStart w:id="28" w:name="_Toc16991"/>
      <w:bookmarkStart w:id="29" w:name="_Toc14840"/>
      <w:bookmarkStart w:id="30" w:name="_Toc25873"/>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936E6A5">
      <w:pPr>
        <w:spacing w:beforeLines="0" w:afterLines="0" w:line="360" w:lineRule="auto"/>
        <w:ind w:firstLine="480" w:firstLineChars="200"/>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lang w:val="en-US" w:eastAsia="zh-CN"/>
        </w:rPr>
        <w:t>供响应文件递交时间前三个月内至少一个月已缴纳的纳税证明或完税证明凭据；其他组织和自然人提供响应文件递交时间前一年内至少一个月缴纳税收的凭据；依法免税的投标人应提供相关文件证明。</w:t>
      </w:r>
    </w:p>
    <w:p w14:paraId="466F3C6D">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3AEA6A32">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9531"/>
      <w:bookmarkStart w:id="33" w:name="_Toc29136"/>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4FA2462A">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24865"/>
      <w:bookmarkStart w:id="35" w:name="_Toc16939"/>
      <w:bookmarkStart w:id="36" w:name="_Toc31742"/>
      <w:bookmarkStart w:id="37" w:name="_Toc332805620"/>
      <w:bookmarkStart w:id="38" w:name="_Toc332805175"/>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37F8352">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3"/>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3"/>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3"/>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3"/>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3"/>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3"/>
        <w:spacing w:line="360" w:lineRule="auto"/>
        <w:ind w:firstLine="480"/>
        <w:rPr>
          <w:rFonts w:hint="eastAsia" w:ascii="宋体" w:hAnsi="宋体" w:eastAsia="宋体" w:cs="宋体"/>
          <w:color w:val="auto"/>
          <w:sz w:val="24"/>
          <w:szCs w:val="24"/>
          <w:highlight w:val="none"/>
        </w:rPr>
      </w:pPr>
    </w:p>
    <w:p w14:paraId="03BA828B">
      <w:pPr>
        <w:pStyle w:val="13"/>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3"/>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3"/>
        <w:spacing w:line="360" w:lineRule="auto"/>
        <w:ind w:firstLine="480"/>
        <w:rPr>
          <w:rFonts w:hint="eastAsia" w:ascii="宋体" w:hAnsi="宋体" w:eastAsia="宋体" w:cs="宋体"/>
          <w:color w:val="auto"/>
          <w:sz w:val="24"/>
          <w:szCs w:val="24"/>
          <w:highlight w:val="none"/>
        </w:rPr>
      </w:pPr>
    </w:p>
    <w:p w14:paraId="68FBEB9E">
      <w:pPr>
        <w:pStyle w:val="13"/>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备注：1、</w:t>
      </w:r>
      <w:r>
        <w:rPr>
          <w:rFonts w:hint="eastAsia" w:ascii="宋体" w:hAnsi="宋体" w:eastAsia="宋体" w:cs="宋体"/>
          <w:color w:val="auto"/>
          <w:spacing w:val="-8"/>
          <w:sz w:val="28"/>
          <w:szCs w:val="2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4"/>
      <w:bookmarkStart w:id="46" w:name="OLE_LINK13"/>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444"/>
      <w:bookmarkStart w:id="48"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D71ADA8">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58B98A74">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kern w:val="2"/>
          <w:sz w:val="24"/>
          <w:szCs w:val="24"/>
          <w:shd w:val="clear" w:fill="FFFFFF"/>
          <w:lang w:val="en-US" w:eastAsia="zh-CN" w:bidi="ar-SA"/>
        </w:rPr>
        <w:t>1、</w:t>
      </w:r>
      <w:r>
        <w:rPr>
          <w:rFonts w:hint="eastAsia" w:ascii="宋体" w:hAnsi="宋体" w:eastAsia="宋体" w:cs="宋体"/>
          <w:i w:val="0"/>
          <w:iCs w:val="0"/>
          <w:caps w:val="0"/>
          <w:color w:val="auto"/>
          <w:spacing w:val="0"/>
          <w:sz w:val="24"/>
          <w:szCs w:val="24"/>
          <w:highlight w:val="none"/>
          <w:shd w:val="clear" w:fill="FFFFFF"/>
          <w:lang w:val="en-US" w:eastAsia="zh-CN"/>
        </w:rPr>
        <w:t xml:space="preserve">须提供建设行政主管部门颁发建筑工程施工总承包三级（含三级）及以上资质，并具有合格有效的安全生产许可证； </w:t>
      </w:r>
    </w:p>
    <w:p w14:paraId="1B7985E9">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480" w:firstLineChars="200"/>
        <w:textAlignment w:val="auto"/>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2、拟派项目经理须具备建筑工程专业二级注册建造师及安全生产考核合格证书，在本单位注册且无在建工程和不良记录（提供无在建工程、无不良记录承诺书）</w:t>
      </w:r>
      <w:r>
        <w:rPr>
          <w:rFonts w:hint="eastAsia" w:eastAsia="宋体" w:cs="宋体"/>
          <w:i w:val="0"/>
          <w:iCs w:val="0"/>
          <w:caps w:val="0"/>
          <w:color w:val="auto"/>
          <w:spacing w:val="0"/>
          <w:kern w:val="2"/>
          <w:sz w:val="24"/>
          <w:szCs w:val="24"/>
          <w:shd w:val="clear" w:fill="FFFFFF"/>
          <w:lang w:val="en-US" w:eastAsia="zh-CN" w:bidi="ar-SA"/>
        </w:rPr>
        <w:t>；</w:t>
      </w:r>
    </w:p>
    <w:p w14:paraId="76987556">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480" w:firstLineChars="200"/>
        <w:textAlignment w:val="auto"/>
        <w:rPr>
          <w:rFonts w:hint="eastAsia" w:ascii="宋体" w:hAnsi="宋体" w:eastAsia="宋体" w:cs="宋体"/>
          <w:i w:val="0"/>
          <w:iCs w:val="0"/>
          <w:caps w:val="0"/>
          <w:color w:val="auto"/>
          <w:spacing w:val="0"/>
          <w:kern w:val="2"/>
          <w:sz w:val="24"/>
          <w:szCs w:val="24"/>
          <w:highlight w:val="none"/>
          <w:shd w:val="clear" w:fill="FFFFFF"/>
          <w:lang w:val="en-US" w:eastAsia="zh-CN" w:bidi="ar-SA"/>
        </w:rPr>
      </w:pPr>
      <w:r>
        <w:rPr>
          <w:rFonts w:hint="eastAsia" w:ascii="宋体" w:hAnsi="宋体" w:eastAsia="宋体" w:cs="宋体"/>
          <w:i w:val="0"/>
          <w:iCs w:val="0"/>
          <w:caps w:val="0"/>
          <w:color w:val="auto"/>
          <w:spacing w:val="0"/>
          <w:kern w:val="2"/>
          <w:sz w:val="24"/>
          <w:szCs w:val="24"/>
          <w:highlight w:val="none"/>
          <w:shd w:val="clear" w:fill="FFFFFF"/>
          <w:lang w:val="en-US" w:eastAsia="zh-CN" w:bidi="ar-SA"/>
        </w:rPr>
        <w:t>3、</w:t>
      </w:r>
      <w:r>
        <w:rPr>
          <w:rFonts w:hint="eastAsia" w:eastAsia="宋体" w:cs="宋体"/>
          <w:i w:val="0"/>
          <w:iCs w:val="0"/>
          <w:caps w:val="0"/>
          <w:color w:val="auto"/>
          <w:spacing w:val="0"/>
          <w:kern w:val="2"/>
          <w:sz w:val="24"/>
          <w:szCs w:val="24"/>
          <w:highlight w:val="none"/>
          <w:shd w:val="clear" w:fill="FFFFFF"/>
          <w:lang w:val="en-US" w:eastAsia="zh-CN" w:bidi="ar-SA"/>
        </w:rPr>
        <w:t>供应商</w:t>
      </w:r>
      <w:r>
        <w:rPr>
          <w:rFonts w:hint="eastAsia" w:ascii="宋体" w:hAnsi="宋体" w:eastAsia="宋体" w:cs="宋体"/>
          <w:i w:val="0"/>
          <w:iCs w:val="0"/>
          <w:caps w:val="0"/>
          <w:color w:val="auto"/>
          <w:spacing w:val="0"/>
          <w:kern w:val="2"/>
          <w:sz w:val="24"/>
          <w:szCs w:val="24"/>
          <w:highlight w:val="none"/>
          <w:shd w:val="clear" w:fill="FFFFFF"/>
          <w:lang w:val="en-US" w:eastAsia="zh-CN" w:bidi="ar-SA"/>
        </w:rPr>
        <w:t>在“全国建筑市场监管公共服务平台”可查询到企业及项目负责人基本信息；</w:t>
      </w:r>
    </w:p>
    <w:p w14:paraId="1F1612E5">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kern w:val="2"/>
          <w:sz w:val="24"/>
          <w:szCs w:val="24"/>
          <w:highlight w:val="none"/>
          <w:shd w:val="clear" w:fill="FFFFFF"/>
          <w:lang w:val="en-US" w:eastAsia="zh-CN" w:bidi="ar-SA"/>
        </w:rPr>
        <w:t xml:space="preserve"> </w:t>
      </w:r>
      <w:r>
        <w:rPr>
          <w:rFonts w:hint="eastAsia" w:eastAsia="宋体" w:cs="宋体"/>
          <w:i w:val="0"/>
          <w:iCs w:val="0"/>
          <w:caps w:val="0"/>
          <w:color w:val="auto"/>
          <w:spacing w:val="0"/>
          <w:kern w:val="2"/>
          <w:sz w:val="24"/>
          <w:szCs w:val="24"/>
          <w:highlight w:val="none"/>
          <w:shd w:val="clear" w:fill="FFFFFF"/>
          <w:lang w:val="en-US" w:eastAsia="zh-CN" w:bidi="ar-SA"/>
        </w:rPr>
        <w:t xml:space="preserve">  </w:t>
      </w:r>
      <w:r>
        <w:rPr>
          <w:rFonts w:hint="eastAsia" w:eastAsia="宋体" w:cs="宋体"/>
          <w:i w:val="0"/>
          <w:iCs w:val="0"/>
          <w:caps w:val="0"/>
          <w:color w:val="auto"/>
          <w:spacing w:val="0"/>
          <w:sz w:val="24"/>
          <w:szCs w:val="24"/>
          <w:highlight w:val="none"/>
          <w:shd w:val="clear" w:fill="FFFFFF"/>
          <w:lang w:val="en-US" w:eastAsia="zh-CN"/>
        </w:rPr>
        <w:t>4、供应商不得为“信用中国”网站（www.creditchina.gov.cn）中列入失信被执行人和重大税收违法失信主体名单的投标人，不得为中国政府采购网（www.ccgp.gov.cn）政府采购严重违法失信行为记录名单中被财政部门禁止参加政府采购活动的投标人；在国家企业信用信息公示系统未被列入严重违法失信企业名单。（以采购代理机构在响应文件递交截止时间后当天查询记录为准）；</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480" w:firstLineChars="200"/>
        <w:textAlignment w:val="auto"/>
        <w:rPr>
          <w:rFonts w:hint="eastAsia" w:ascii="宋体" w:hAnsi="宋体" w:eastAsia="宋体" w:cs="宋体"/>
          <w:highlight w:val="none"/>
          <w:lang w:val="en-US" w:eastAsia="zh-CN"/>
        </w:rPr>
      </w:pPr>
      <w:r>
        <w:rPr>
          <w:rFonts w:hint="eastAsia"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lang w:eastAsia="zh-CN"/>
        </w:rPr>
        <w:t>竞争性磋</w:t>
      </w:r>
      <w:bookmarkStart w:id="49" w:name="_GoBack"/>
      <w:bookmarkEnd w:id="49"/>
      <w:r>
        <w:rPr>
          <w:rFonts w:hint="eastAsia" w:ascii="宋体" w:hAnsi="宋体" w:eastAsia="宋体" w:cs="宋体"/>
          <w:i w:val="0"/>
          <w:iCs w:val="0"/>
          <w:caps w:val="0"/>
          <w:color w:val="auto"/>
          <w:spacing w:val="0"/>
          <w:sz w:val="24"/>
          <w:szCs w:val="24"/>
          <w:highlight w:val="none"/>
          <w:shd w:val="clear" w:fill="FFFFFF"/>
          <w:lang w:eastAsia="zh-CN"/>
        </w:rPr>
        <w:t>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AFA5870"/>
    <w:rsid w:val="0F3975E9"/>
    <w:rsid w:val="15E909BB"/>
    <w:rsid w:val="15F8570C"/>
    <w:rsid w:val="209C3CC7"/>
    <w:rsid w:val="21975EF4"/>
    <w:rsid w:val="23F944BF"/>
    <w:rsid w:val="26052A38"/>
    <w:rsid w:val="265736DD"/>
    <w:rsid w:val="26734AF5"/>
    <w:rsid w:val="2CEE508B"/>
    <w:rsid w:val="37FE0B1D"/>
    <w:rsid w:val="3A3000B7"/>
    <w:rsid w:val="3A856D10"/>
    <w:rsid w:val="3FD72207"/>
    <w:rsid w:val="4CF31E6C"/>
    <w:rsid w:val="530869F0"/>
    <w:rsid w:val="5A7D2C7D"/>
    <w:rsid w:val="5F207622"/>
    <w:rsid w:val="60820DBC"/>
    <w:rsid w:val="61BF60C7"/>
    <w:rsid w:val="64FC50A0"/>
    <w:rsid w:val="66503F1A"/>
    <w:rsid w:val="6D4817FE"/>
    <w:rsid w:val="75D21A46"/>
    <w:rsid w:val="7AA9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2"/>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link w:val="4"/>
    <w:autoRedefine/>
    <w:qFormat/>
    <w:uiPriority w:val="0"/>
    <w:rPr>
      <w:rFonts w:ascii="Times New Roman" w:hAnsi="Times New Roman" w:eastAsia="仿宋"/>
      <w:b/>
      <w:bCs/>
      <w:kern w:val="2"/>
      <w:sz w:val="24"/>
      <w:szCs w:val="24"/>
    </w:rPr>
  </w:style>
  <w:style w:type="paragraph" w:customStyle="1" w:styleId="13">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3372</Words>
  <Characters>3433</Characters>
  <Lines>0</Lines>
  <Paragraphs>0</Paragraphs>
  <TotalTime>0</TotalTime>
  <ScaleCrop>false</ScaleCrop>
  <LinksUpToDate>false</LinksUpToDate>
  <CharactersWithSpaces>3961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代理公司</cp:lastModifiedBy>
  <dcterms:modified xsi:type="dcterms:W3CDTF">2025-09-16T02:45:07Z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2DA61D95EF7E4BDB967E422B99D07EBC_11</vt:lpwstr>
  </property>
  <property fmtid="{D5CDD505-2E9C-101B-9397-08002B2CF9AE}" pid="4" name="KSOTemplateDocerSaveRecord">
    <vt:lpwstr>eyJoZGlkIjoiNjNkNDg3OTA4NWU2OGUyYmUwMWM4NTZiMjNmMjg3MWMiLCJ1c2VySWQiOiIxNjI2NTk1MzY4In0=</vt:lpwstr>
  </property>
</Properties>
</file>