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版本号：JXZB2025-09-2320250924001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蓝桥镇联村集体经济产业食用菌修复完善项目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JXZB2025-09-23</w:t>
      </w:r>
      <w:r>
        <w:br/>
      </w:r>
      <w:r>
        <w:br/>
      </w:r>
      <w:r>
        <w:br/>
      </w:r>
    </w:p>
    <w:p>
      <w:pPr>
        <w:pStyle w:val="null3"/>
        <w:jc w:val="center"/>
        <w:outlineLvl w:val="2"/>
      </w:pPr>
      <w:r>
        <w:rPr>
          <w:rFonts w:ascii="仿宋_GB2312" w:hAnsi="仿宋_GB2312" w:cs="仿宋_GB2312" w:eastAsia="仿宋_GB2312"/>
          <w:sz w:val="28"/>
          <w:b/>
        </w:rPr>
        <w:t>西安市蓝田县蓝桥镇人民政府（本级）</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西安市蓝田县蓝桥镇人民政府（本级）</w:t>
      </w:r>
      <w:r>
        <w:rPr>
          <w:rFonts w:ascii="仿宋_GB2312" w:hAnsi="仿宋_GB2312" w:cs="仿宋_GB2312" w:eastAsia="仿宋_GB2312"/>
        </w:rPr>
        <w:t>委托，拟对</w:t>
      </w:r>
      <w:r>
        <w:rPr>
          <w:rFonts w:ascii="仿宋_GB2312" w:hAnsi="仿宋_GB2312" w:cs="仿宋_GB2312" w:eastAsia="仿宋_GB2312"/>
        </w:rPr>
        <w:t>蓝桥镇联村集体经济产业食用菌修复完善项目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JXZB2025-09-23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蓝桥镇联村集体经济产业食用菌修复完善项目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蓝桥镇联村集体经济产业食用菌修复完善项目，范围包括内容:1、北沟村提升加固大棚38个，其中大块地产业园加固3号、4号、9号、11号、27号、28号棚等6个大棚，陡沟口产业园加固18号、19号、26号、27号、28号等5个大棚，下坪产业园(一)加固1-5号、7-8号、12-14号等10个大棚，下坪产业园(二)加固1-17号等17个大棚，并在现状钢结构上搭设防晒网，灌溉水井3个；2、圪塔庙村新架变压器一台(315KVA)，含线路(100米)及电杆(4个)，新增生产供水机井一座，新打机井1个，更换冷库压缩机（谷轮10P压缩机）一套，增设20座大棚喷淋设施(大棚占地面积3887.97平米)，更换看护房铝合金门（1700*1900mm）4个，铝合金窗（1000*1000mm）6个，更换门窗；3、柳坪沟村产业园新增供水机井一座，无塔上水器一个，更换冷库压缩机一个；4、新店子村增设四处成品排水沟，局部增设边沟盖板；榆林坪树脂排水渠U500-500-1000mm，200米长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采购包1（蓝桥镇联村集体经济产业食用菌修复完善项目）：属于专门面向中小企业采购。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1、法定代表人授权书或法定代表人身份证明：法定代表人授权书（法定代表人直接参加磋商，须提供法定代表人身份证明）；</w:t>
      </w:r>
    </w:p>
    <w:p>
      <w:pPr>
        <w:pStyle w:val="null3"/>
      </w:pPr>
      <w:r>
        <w:rPr>
          <w:rFonts w:ascii="仿宋_GB2312" w:hAnsi="仿宋_GB2312" w:cs="仿宋_GB2312" w:eastAsia="仿宋_GB2312"/>
        </w:rPr>
        <w:t>2、失信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p>
      <w:pPr>
        <w:pStyle w:val="null3"/>
      </w:pPr>
      <w:r>
        <w:rPr>
          <w:rFonts w:ascii="仿宋_GB2312" w:hAnsi="仿宋_GB2312" w:cs="仿宋_GB2312" w:eastAsia="仿宋_GB2312"/>
        </w:rPr>
        <w:t>3、资质要求：供应商须具备行业主管部门颁发的建筑工程施工总承包三级及以上和电力工程施工总承包三级及以上资质，同时具备承装（修、试）电力设施许可证五级及以上资质，并具有有效的安全生产许可证；</w:t>
      </w:r>
    </w:p>
    <w:p>
      <w:pPr>
        <w:pStyle w:val="null3"/>
      </w:pPr>
      <w:r>
        <w:rPr>
          <w:rFonts w:ascii="仿宋_GB2312" w:hAnsi="仿宋_GB2312" w:cs="仿宋_GB2312" w:eastAsia="仿宋_GB2312"/>
        </w:rPr>
        <w:t>4、项目经理：供应商拟派项目经理须具备行业主管部门颁发的建筑工程专业二级及以上建造师资质及有效的安全生产考核合格证书（建安B证），在本单位注册且无在建工程；</w:t>
      </w:r>
    </w:p>
    <w:p>
      <w:pPr>
        <w:pStyle w:val="null3"/>
      </w:pPr>
      <w:r>
        <w:rPr>
          <w:rFonts w:ascii="仿宋_GB2312" w:hAnsi="仿宋_GB2312" w:cs="仿宋_GB2312" w:eastAsia="仿宋_GB2312"/>
        </w:rPr>
        <w:t>5、供应商基本信息及项目经理基本信息：供应商基本信息及项目经理基本信息应在“陕西建设网（http://js.shaanxi.gov.cn/ ）陕西省建筑市场监管与诚信信息发布平台”可查询；</w:t>
      </w:r>
    </w:p>
    <w:p>
      <w:pPr>
        <w:pStyle w:val="null3"/>
      </w:pPr>
      <w:r>
        <w:rPr>
          <w:rFonts w:ascii="仿宋_GB2312" w:hAnsi="仿宋_GB2312" w:cs="仿宋_GB2312" w:eastAsia="仿宋_GB2312"/>
        </w:rPr>
        <w:t>6、不得列为受限行为人：供应商不得在各级诚信信息平台被列为投标受限制的行为人（以承诺书为准）；</w:t>
      </w:r>
    </w:p>
    <w:p>
      <w:pPr>
        <w:pStyle w:val="null3"/>
      </w:pPr>
      <w:r>
        <w:rPr>
          <w:rFonts w:ascii="仿宋_GB2312" w:hAnsi="仿宋_GB2312" w:cs="仿宋_GB2312" w:eastAsia="仿宋_GB2312"/>
        </w:rPr>
        <w:t>7、承诺：本项目不接受联合体磋商，单位负责人为同一人或者存在直接控股、管理关系的不同供应商，不得参加同一合同项下的政府采购活动；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 号) 条件的中小企业参与，残疾人福利企业、监狱企业视同中小企业。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西安市蓝田县蓝桥镇人民政府（本级）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蓝田县蓝桥镇蓝桥街村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任钊东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17392729719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西安市雁塔区中国科学院地球环境研究所南边和谐国际2栋301室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15529558166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蓝田县政府采购中心</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秦西锋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采购包1：871,000.00元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成交金额为基数，参考国家计委颁布《招标代理服务收费管理暂行办法》（计价格[2002]1980号）和国家发展和改革委员会办公厅颁发的《关于招标代理服务收费有关问题的通知》（发改办价格[2003]857号）文件工程收费标准计取；造价咨询服务费按陕价行发〔2014〕88号文规定的基准价计取； 2.招标代理服务费由成交供应商支付，在领取《成交通知书》前，由成交供应商一次性支付给建信众诚工程咨询有限公司。 招标代理服务费缴纳账户： 3.开户名称：建信众诚工程咨询有限公司 开户银行：西安银行股份有限公司东二环南段支行 账 号：209011580000085788 注：成交公示结束后，成交供应商须提供纸质磋商响应文件3套及电子版U盘2个（电子版文件为Word版磋商响应文件、广联达版磋商报价及使用编标工具软件编制并导出的签章版PDF）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西安市蓝田县蓝桥镇人民政府（本级）</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西安市蓝田县蓝桥镇人民政府（本级）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西安市蓝田县蓝桥镇人民政府（本级）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联系电话：15529558166</w:t>
      </w:r>
    </w:p>
    <w:p>
      <w:pPr>
        <w:pStyle w:val="null3"/>
      </w:pPr>
      <w:r>
        <w:rPr>
          <w:rFonts w:ascii="仿宋_GB2312" w:hAnsi="仿宋_GB2312" w:cs="仿宋_GB2312" w:eastAsia="仿宋_GB2312"/>
        </w:rPr>
        <w:t>地址：西安市雁塔区中国科学院地球环境研究所南边和谐国际2栋301室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871,000.00</w:t>
      </w:r>
    </w:p>
    <w:p>
      <w:pPr>
        <w:pStyle w:val="null3"/>
      </w:pPr>
      <w:r>
        <w:rPr>
          <w:rFonts w:ascii="仿宋_GB2312" w:hAnsi="仿宋_GB2312" w:cs="仿宋_GB2312" w:eastAsia="仿宋_GB2312"/>
        </w:rPr>
        <w:t>采购包最高限价（元）: 870,630.62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蓝桥镇联村集体经济产业食用菌修复完善项目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871,000.00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标的名称：蓝桥镇联村集体经济产业食用菌修复完善项目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一、工程概况</w:t>
            </w:r>
          </w:p>
          <w:p>
            <w:pPr>
              <w:pStyle w:val="null3"/>
              <w:jc w:val="both"/>
            </w:pPr>
            <w:r>
              <w:rPr>
                <w:rFonts w:ascii="仿宋_GB2312" w:hAnsi="仿宋_GB2312" w:cs="仿宋_GB2312" w:eastAsia="仿宋_GB2312"/>
              </w:rPr>
              <w:t>1、建设单位:蓝田县蓝桥镇人民政府</w:t>
            </w:r>
          </w:p>
          <w:p>
            <w:pPr>
              <w:pStyle w:val="null3"/>
              <w:jc w:val="both"/>
            </w:pPr>
            <w:r>
              <w:rPr>
                <w:rFonts w:ascii="仿宋_GB2312" w:hAnsi="仿宋_GB2312" w:cs="仿宋_GB2312" w:eastAsia="仿宋_GB2312"/>
              </w:rPr>
              <w:t>2、项目名称:</w:t>
            </w:r>
            <w:r>
              <w:rPr>
                <w:rFonts w:ascii="仿宋_GB2312" w:hAnsi="仿宋_GB2312" w:cs="仿宋_GB2312" w:eastAsia="仿宋_GB2312"/>
              </w:rPr>
              <w:t>蓝桥镇联村集体经济产业食用菌修复完善项目</w:t>
            </w:r>
          </w:p>
          <w:p>
            <w:pPr>
              <w:pStyle w:val="null3"/>
              <w:jc w:val="both"/>
            </w:pPr>
            <w:r>
              <w:rPr>
                <w:rFonts w:ascii="仿宋_GB2312" w:hAnsi="仿宋_GB2312" w:cs="仿宋_GB2312" w:eastAsia="仿宋_GB2312"/>
              </w:rPr>
              <w:t>3、设计单位：陕西建辉道路勘察设计有限责任公司</w:t>
            </w:r>
          </w:p>
          <w:p>
            <w:pPr>
              <w:pStyle w:val="null3"/>
              <w:jc w:val="both"/>
            </w:pPr>
            <w:r>
              <w:rPr>
                <w:rFonts w:ascii="仿宋_GB2312" w:hAnsi="仿宋_GB2312" w:cs="仿宋_GB2312" w:eastAsia="仿宋_GB2312"/>
              </w:rPr>
              <w:t>4、项目建设地点:蓝田县蓝桥镇北沟村、圪塔庙村、柳坪村、新店子村</w:t>
            </w:r>
          </w:p>
          <w:p>
            <w:pPr>
              <w:pStyle w:val="null3"/>
              <w:jc w:val="both"/>
            </w:pPr>
            <w:r>
              <w:rPr>
                <w:rFonts w:ascii="仿宋_GB2312" w:hAnsi="仿宋_GB2312" w:cs="仿宋_GB2312" w:eastAsia="仿宋_GB2312"/>
              </w:rPr>
              <w:t>二</w:t>
            </w:r>
            <w:r>
              <w:rPr>
                <w:rFonts w:ascii="仿宋_GB2312" w:hAnsi="仿宋_GB2312" w:cs="仿宋_GB2312" w:eastAsia="仿宋_GB2312"/>
              </w:rPr>
              <w:t>、编制范围</w:t>
            </w:r>
            <w:r>
              <w:rPr>
                <w:rFonts w:ascii="仿宋_GB2312" w:hAnsi="仿宋_GB2312" w:cs="仿宋_GB2312" w:eastAsia="仿宋_GB2312"/>
              </w:rPr>
              <w:t>及区域划分</w:t>
            </w:r>
          </w:p>
          <w:p>
            <w:pPr>
              <w:pStyle w:val="null3"/>
              <w:jc w:val="both"/>
            </w:pPr>
            <w:r>
              <w:rPr>
                <w:rFonts w:ascii="仿宋_GB2312" w:hAnsi="仿宋_GB2312" w:cs="仿宋_GB2312" w:eastAsia="仿宋_GB2312"/>
              </w:rPr>
              <w:t>1、蓝桥镇联村集体经济产业食用菌修复完善项目施工图纸范围内工程项目内容，范围包括内容:1、北沟村提升加固大棚38个，其中大块地产业园加固3号、4号、9号、11号、27号、28号棚等6个大棚，陡沟口产业园加固18号、19号、26号、27号、28号等5个大棚，下坪产业园(一)加固1-5号、7-8号、12-14号等10个大棚，下坪产业园(二)加固1-17号等17个大棚，并在现状钢结构上搭设防晒网，灌溉水井3个；2、圪塔庙村新架变压器一台(315KVA)，含线路(100米)及电杆(4个)，新增生产供水机井一座，新打机井1个，更换冷库压缩机（谷轮10P压缩机）一套，增设20座大棚喷淋设施(大棚占地面积3887.97平米)，更换看护房铝合金门（1700*1900mm）4个，铝合金窗（1000*1000mm）6个，更换门窗；3、柳坪沟村产业园新增供水机井一座，无塔上水器一个，更换冷库压缩机一个；4、新店子村增设四处成品排水沟，局部增设边沟盖板；榆林坪树脂排水渠U500-500-1000mm，200米长等，具体详见设计图纸及工程量清单。</w:t>
            </w:r>
          </w:p>
          <w:p>
            <w:pPr>
              <w:pStyle w:val="null3"/>
              <w:jc w:val="both"/>
            </w:pPr>
            <w:r>
              <w:rPr>
                <w:rFonts w:ascii="仿宋_GB2312" w:hAnsi="仿宋_GB2312" w:cs="仿宋_GB2312" w:eastAsia="仿宋_GB2312"/>
              </w:rPr>
              <w:t>三</w:t>
            </w:r>
            <w:r>
              <w:rPr>
                <w:rFonts w:ascii="仿宋_GB2312" w:hAnsi="仿宋_GB2312" w:cs="仿宋_GB2312" w:eastAsia="仿宋_GB2312"/>
              </w:rPr>
              <w:t>、编制依据</w:t>
            </w:r>
          </w:p>
          <w:p>
            <w:pPr>
              <w:pStyle w:val="null3"/>
              <w:jc w:val="both"/>
            </w:pPr>
            <w:r>
              <w:rPr>
                <w:rFonts w:ascii="仿宋_GB2312" w:hAnsi="仿宋_GB2312" w:cs="仿宋_GB2312" w:eastAsia="仿宋_GB2312"/>
              </w:rPr>
              <w:t>1、依据《蓝桥镇联村集体经济产业食用菌修复完善项目》施工图相关资料；</w:t>
            </w:r>
          </w:p>
          <w:p>
            <w:pPr>
              <w:pStyle w:val="null3"/>
              <w:jc w:val="both"/>
            </w:pPr>
            <w:r>
              <w:rPr>
                <w:rFonts w:ascii="仿宋_GB2312" w:hAnsi="仿宋_GB2312" w:cs="仿宋_GB2312" w:eastAsia="仿宋_GB2312"/>
              </w:rPr>
              <w:t>2、《陕西省建设工程费用规则》(2025)、陕西省工程建设标准《建设工程工程量清单计价标准》(DB 61/T 5126-2025)、陕西省工程建设标准《房屋建筑与装饰工程工程量计算标准》(DB 61/T 5129-2025)；</w:t>
            </w:r>
          </w:p>
          <w:p>
            <w:pPr>
              <w:pStyle w:val="null3"/>
              <w:jc w:val="both"/>
            </w:pPr>
            <w:r>
              <w:rPr>
                <w:rFonts w:ascii="仿宋_GB2312" w:hAnsi="仿宋_GB2312" w:cs="仿宋_GB2312" w:eastAsia="仿宋_GB2312"/>
              </w:rPr>
              <w:t>3、陕西省工程建设标准《通用安装工程工程量计算标准》(DB 61/T 5130-2025)；</w:t>
            </w:r>
          </w:p>
          <w:p>
            <w:pPr>
              <w:pStyle w:val="null3"/>
              <w:jc w:val="both"/>
            </w:pPr>
            <w:r>
              <w:rPr>
                <w:rFonts w:ascii="仿宋_GB2312" w:hAnsi="仿宋_GB2312" w:cs="仿宋_GB2312" w:eastAsia="仿宋_GB2312"/>
              </w:rPr>
              <w:t>4、《陕西省房屋建筑与装饰工程基价表》（2025）；</w:t>
            </w:r>
          </w:p>
          <w:p>
            <w:pPr>
              <w:pStyle w:val="null3"/>
              <w:jc w:val="both"/>
            </w:pPr>
            <w:r>
              <w:rPr>
                <w:rFonts w:ascii="仿宋_GB2312" w:hAnsi="仿宋_GB2312" w:cs="仿宋_GB2312" w:eastAsia="仿宋_GB2312"/>
              </w:rPr>
              <w:t>5、《陕西省通用安装工程工程基价表》（2025）；</w:t>
            </w:r>
          </w:p>
          <w:p>
            <w:pPr>
              <w:pStyle w:val="null3"/>
              <w:jc w:val="both"/>
            </w:pPr>
            <w:r>
              <w:rPr>
                <w:rFonts w:ascii="仿宋_GB2312" w:hAnsi="仿宋_GB2312" w:cs="仿宋_GB2312" w:eastAsia="仿宋_GB2312"/>
              </w:rPr>
              <w:t>6、《陕西省房屋建筑与装饰工程消耗量定额》（2025）；</w:t>
            </w:r>
          </w:p>
          <w:p>
            <w:pPr>
              <w:pStyle w:val="null3"/>
              <w:jc w:val="both"/>
            </w:pPr>
            <w:r>
              <w:rPr>
                <w:rFonts w:ascii="仿宋_GB2312" w:hAnsi="仿宋_GB2312" w:cs="仿宋_GB2312" w:eastAsia="仿宋_GB2312"/>
              </w:rPr>
              <w:t>7、《陕西省通用安装工程消耗量定额》（2025）；</w:t>
            </w:r>
          </w:p>
          <w:p>
            <w:pPr>
              <w:pStyle w:val="null3"/>
              <w:jc w:val="both"/>
            </w:pPr>
            <w:r>
              <w:rPr>
                <w:rFonts w:ascii="仿宋_GB2312" w:hAnsi="仿宋_GB2312" w:cs="仿宋_GB2312" w:eastAsia="仿宋_GB2312"/>
              </w:rPr>
              <w:t>8、《陕西省建设工程施工机械台班费用定额》（2025）；</w:t>
            </w:r>
          </w:p>
          <w:p>
            <w:pPr>
              <w:pStyle w:val="null3"/>
              <w:jc w:val="both"/>
            </w:pPr>
            <w:r>
              <w:rPr>
                <w:rFonts w:ascii="仿宋_GB2312" w:hAnsi="仿宋_GB2312" w:cs="仿宋_GB2312" w:eastAsia="仿宋_GB2312"/>
              </w:rPr>
              <w:t>9、《陕西省建设工程施工仪器仪表台班费用定额》（2025）；</w:t>
            </w:r>
          </w:p>
          <w:p>
            <w:pPr>
              <w:pStyle w:val="null3"/>
              <w:jc w:val="both"/>
            </w:pPr>
            <w:r>
              <w:rPr>
                <w:rFonts w:ascii="仿宋_GB2312" w:hAnsi="仿宋_GB2312" w:cs="仿宋_GB2312" w:eastAsia="仿宋_GB2312"/>
              </w:rPr>
              <w:t>10、陕西省住房和城乡建设厅关于印发 2025 陕西省建设工程费用规则等计价依据的通知》陕建管发[2025]10号文；</w:t>
            </w:r>
          </w:p>
          <w:p>
            <w:pPr>
              <w:pStyle w:val="null3"/>
              <w:jc w:val="both"/>
            </w:pPr>
            <w:r>
              <w:rPr>
                <w:rFonts w:ascii="仿宋_GB2312" w:hAnsi="仿宋_GB2312" w:cs="仿宋_GB2312" w:eastAsia="仿宋_GB2312"/>
              </w:rPr>
              <w:t>11、材料价格采用《西安造价信息（蓝田县）》2025年7月及相关市场价计入；</w:t>
            </w:r>
          </w:p>
          <w:p>
            <w:pPr>
              <w:pStyle w:val="null3"/>
              <w:jc w:val="both"/>
            </w:pPr>
            <w:r>
              <w:rPr>
                <w:rFonts w:ascii="仿宋_GB2312" w:hAnsi="仿宋_GB2312" w:cs="仿宋_GB2312" w:eastAsia="仿宋_GB2312"/>
              </w:rPr>
              <w:t>12、依据工程常规施工方案、国家相关标准及规范技术文件；</w:t>
            </w:r>
          </w:p>
          <w:p>
            <w:pPr>
              <w:pStyle w:val="null3"/>
              <w:jc w:val="both"/>
            </w:pPr>
            <w:r>
              <w:rPr>
                <w:rFonts w:ascii="仿宋_GB2312" w:hAnsi="仿宋_GB2312" w:cs="仿宋_GB2312" w:eastAsia="仿宋_GB2312"/>
              </w:rPr>
              <w:t>13、本工程采用广联达云计价平台 GCCP7.0(7.5000.23.1 版本)。</w:t>
            </w:r>
          </w:p>
          <w:p>
            <w:pPr>
              <w:pStyle w:val="null3"/>
              <w:jc w:val="both"/>
            </w:pPr>
            <w:r>
              <w:rPr>
                <w:rFonts w:ascii="仿宋_GB2312" w:hAnsi="仿宋_GB2312" w:cs="仿宋_GB2312" w:eastAsia="仿宋_GB2312"/>
              </w:rPr>
              <w:t>四</w:t>
            </w:r>
            <w:r>
              <w:rPr>
                <w:rFonts w:ascii="仿宋_GB2312" w:hAnsi="仿宋_GB2312" w:cs="仿宋_GB2312" w:eastAsia="仿宋_GB2312"/>
              </w:rPr>
              <w:t>、</w:t>
            </w:r>
            <w:r>
              <w:rPr>
                <w:rFonts w:ascii="仿宋_GB2312" w:hAnsi="仿宋_GB2312" w:cs="仿宋_GB2312" w:eastAsia="仿宋_GB2312"/>
              </w:rPr>
              <w:t>其他项目</w:t>
            </w:r>
          </w:p>
          <w:p>
            <w:pPr>
              <w:pStyle w:val="null3"/>
              <w:jc w:val="both"/>
            </w:pPr>
            <w:r>
              <w:rPr>
                <w:rFonts w:ascii="仿宋_GB2312" w:hAnsi="仿宋_GB2312" w:cs="仿宋_GB2312" w:eastAsia="仿宋_GB2312"/>
              </w:rPr>
              <w:t>1、本工程中所有混凝土均采用商品混凝土；</w:t>
            </w:r>
          </w:p>
          <w:p>
            <w:pPr>
              <w:pStyle w:val="null3"/>
              <w:jc w:val="both"/>
            </w:pPr>
            <w:r>
              <w:rPr>
                <w:rFonts w:ascii="仿宋_GB2312" w:hAnsi="仿宋_GB2312" w:cs="仿宋_GB2312" w:eastAsia="仿宋_GB2312"/>
                <w:sz w:val="21"/>
              </w:rPr>
              <w:t>2、本工程中所有砂浆均采用预拌砂浆。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1、工期：30日历天。 2、付款方式：合同签订乙方进场后，甲方向乙方支付合同总价款的40%作为预付款；工程完工后，甲方组织有关部门验收合格后，支付至合同总价款的80%；工程结算审核完成后支付至工程审核价款的100%。 3、缺陷责任期：1年。 4、建设地点：蓝田县蓝桥镇北沟村、圪塔庙村、柳坪村、新店子村。 5、各供应商应根据“陕西省财政厅 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以下资料；(1)提供合格有效的法人或者其他组织的营业执照等证明文件，自然人的身份证明；供应商是法人或其他组织的应提供营业执照等证明文件，供应商是自然人的应提供有效的自然人身份证明。(2)提供2024年度经审计的财务报告（成立时间至提交响应文件截止时间不足一年的可提供成立后任意时段的资产负债表），或响应截止时间前6个月内银行出具的资信证明；(3)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提供2024年度经审计的财务报告（成立时间至提交响应文件截止时间不足一年的可提供成立后任意时段的资产负债表），或响应截止时间前6个月内银行出具的资信证明；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供应商应提交的相关资格证明材料.pdf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失信查询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tc>
        <w:tc>
          <w:tcPr>
            <w:tcW w:type="dxa" w:w="1661"/>
          </w:tcPr>
          <w:p>
            <w:pPr>
              <w:pStyle w:val="null3"/>
            </w:pPr>
            <w:r>
              <w:rPr>
                <w:rFonts w:ascii="仿宋_GB2312" w:hAnsi="仿宋_GB2312" w:cs="仿宋_GB2312" w:eastAsia="仿宋_GB2312"/>
              </w:rPr>
              <w:t>供应商应提交的相关资格证明材料.pdf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供应商须具备行业主管部门颁发的建筑工程施工总承包三级及以上和电力工程施工总承包三级及以上资质，同时具备承装（修、试）电力设施许可证五级及以上资质，并具有有效的安全生产许可证；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供应商拟派项目经理须具备行业主管部门颁发的建筑工程专业二级及以上建造师资质及有效的安全生产考核合格证书（建安B证），在本单位注册且无在建工程；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w:t>
            </w:r>
          </w:p>
        </w:tc>
        <w:tc>
          <w:tcPr>
            <w:tcW w:type="dxa" w:w="3322"/>
          </w:tcPr>
          <w:p>
            <w:pPr>
              <w:pStyle w:val="null3"/>
            </w:pPr>
            <w:r>
              <w:rPr>
                <w:rFonts w:ascii="仿宋_GB2312" w:hAnsi="仿宋_GB2312" w:cs="仿宋_GB2312" w:eastAsia="仿宋_GB2312"/>
              </w:rPr>
              <w:t>供应商基本信息及项目经理基本信息应在“陕西建设网（http://js.shaanxi.gov.cn/ ）陕西省建筑市场监管与诚信信息发布平台”可查询；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不得列为受限行为人</w:t>
            </w:r>
          </w:p>
        </w:tc>
        <w:tc>
          <w:tcPr>
            <w:tcW w:type="dxa" w:w="3322"/>
          </w:tcPr>
          <w:p>
            <w:pPr>
              <w:pStyle w:val="null3"/>
            </w:pPr>
            <w:r>
              <w:rPr>
                <w:rFonts w:ascii="仿宋_GB2312" w:hAnsi="仿宋_GB2312" w:cs="仿宋_GB2312" w:eastAsia="仿宋_GB2312"/>
              </w:rPr>
              <w:t>供应商不得在各级诚信信息平台被列为投标受限制的行为人（以承诺书为准）；</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条件的中小企业参与，残疾人福利企业、监狱企业视同中小企业。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报价函 标的清单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陕西省政府采购供应商拒绝政府采购领域商业贿赂承诺书.pdf 供应商类似项目业绩情况表.pdf 中小企业声明函 响应文件封面 技术服务合同条款及其他商务要求应答表.pdf 残疾人福利性单位声明函 磋商方案.pdf 报价函 供应商应提交的相关资格证明材料.pdf 标的清单 响应函 监狱企业的证明文件 分项报价表.pdf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陕西省政府采购供应商拒绝政府采购领域商业贿赂承诺书.pdf 供应商类似项目业绩情况表.pdf 中小企业声明函 响应文件封面 技术服务合同条款及其他商务要求应答表.pdf 残疾人福利性单位声明函 磋商方案.pdf 报价函 供应商应提交的相关资格证明材料.pdf 标的清单 响应函 监狱企业的证明文件 分项报价表.pdf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陕西省政府采购供应商拒绝政府采购领域商业贿赂承诺书.pdf 供应商类似项目业绩情况表.pdf 中小企业声明函 响应文件封面 技术服务合同条款及其他商务要求应答表.pdf 残疾人福利性单位声明函 磋商方案.pdf 报价函 供应商应提交的相关资格证明材料.pdf 标的清单 响应函 监狱企业的证明文件 分项报价表.pdf</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根据本项目的特点，制定施工方案（项目整体实施计划、项目实施重难点分析、对易发生质量通病，易出现安全问题，施工难度大，技术含量高的部分进行说明并给出施工保障措施和专项技术方案（含主要施工方法，组织措施，检验手段等）、项目实施流程、施工现场管理制度）：施工方案非常合理、条理清晰、计划安排合理有效：（8-12]分； 施工方案合理，可行性较高：（4-8]分；施工方案合理性差，可行性较差：（0-4]分。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供应商有针对本项目的质量保证体系及保证措施，根据质量保证体系及保证措施的完整性、严格度、规范化、详尽化及针对性等方面的响应情况进行综合评审。质量体系内容完善、科学，有针对性且保障措施合理可行，得(5-10]分；质量体系较完整，保障措施较合理，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供应商有针对本项目的安全生产体系及保证措施，根据安全生产体系及保证措施的完整性、科学性、规范化、详尽化及针对性等方面的响应情况进行综合评审。安全生产体系完善、科学，保障措施有针对性且合理可行，得(5-10]分；确保安全生产体系较完整，保证措施一般，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施工现场组织管理、文明施工，现场秩序良好，工完场清、道路畅通，设有安全防护标志、施工告示牌，确保安全生产施工体系相对完善、科学，保障措施有针对性，且合理可行，得(5-10]分；施工现场组织管理、文明施工，现场秩序完好，工完场清、道路畅通，设有安全防护标志、施工告示牌，确保安全生产施工体系体系较完整，有保证措施，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确保工期的技术组织措施及进度保障措施</w:t>
            </w:r>
          </w:p>
        </w:tc>
        <w:tc>
          <w:tcPr>
            <w:tcW w:type="dxa" w:w="2492"/>
          </w:tcPr>
          <w:p>
            <w:pPr>
              <w:pStyle w:val="null3"/>
            </w:pPr>
            <w:r>
              <w:rPr>
                <w:rFonts w:ascii="仿宋_GB2312" w:hAnsi="仿宋_GB2312" w:cs="仿宋_GB2312" w:eastAsia="仿宋_GB2312"/>
              </w:rPr>
              <w:t>确保工期的技术组织措施科学、切实可行，进度保障措施描述完整、可操作性强、细节描述优越，得(4-8]分；有确保工期及进度的措施，但保障措施内容简单，针对性一般，得(0-4]分。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项目组织管理机构及人员施工组织安排</w:t>
            </w:r>
          </w:p>
        </w:tc>
        <w:tc>
          <w:tcPr>
            <w:tcW w:type="dxa" w:w="2492"/>
          </w:tcPr>
          <w:p>
            <w:pPr>
              <w:pStyle w:val="null3"/>
            </w:pPr>
            <w:r>
              <w:rPr>
                <w:rFonts w:ascii="仿宋_GB2312" w:hAnsi="仿宋_GB2312" w:cs="仿宋_GB2312" w:eastAsia="仿宋_GB2312"/>
              </w:rPr>
              <w:t>组织机构健全，有完善的岗位制度和岗位职责，人员安排合理、分工明确，可操作性强：(4-8]分；组织机构较健全，有较完善的岗位制度和岗位职责，人员安排及分工较为合理，具有一定的操作性：(0-4]分。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紧急预案措施</w:t>
            </w:r>
          </w:p>
        </w:tc>
        <w:tc>
          <w:tcPr>
            <w:tcW w:type="dxa" w:w="2492"/>
          </w:tcPr>
          <w:p>
            <w:pPr>
              <w:pStyle w:val="null3"/>
            </w:pPr>
            <w:r>
              <w:rPr>
                <w:rFonts w:ascii="仿宋_GB2312" w:hAnsi="仿宋_GB2312" w:cs="仿宋_GB2312" w:eastAsia="仿宋_GB2312"/>
              </w:rPr>
              <w:t>在施工过程中有应对紧急情况的预案措施：措施方案具体、可行:(2-4]分； 措施方案基本合理、可行性一般：(0-2]分。未提供不得分。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根据供应商的后期服务承诺及服务内容，由磋商小组成员自主赋分，(0-2]分。未提供不得分。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提供2022年9月1日至今完成过的类似工程项目业绩。每提供一个业绩证明得 2分，最多得6分。（以完整合同复印件为准，时间以合同签订日期为准）。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供应商类似项目业绩情况表.pdf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注：经评委一致认定，供应商的磋商最终总报价低于公认市场成本，或超过采购预算,其磋商响应将被拒绝。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详见附件：供应商类似项目业绩情况表.pdf</w:t>
      </w:r>
    </w:p>
    <w:p>
      <w:pPr>
        <w:pStyle w:val="null3"/>
        <w:ind w:firstLine="960"/>
      </w:pPr>
      <w:r>
        <w:rPr>
          <w:rFonts w:ascii="仿宋_GB2312" w:hAnsi="仿宋_GB2312" w:cs="仿宋_GB2312" w:eastAsia="仿宋_GB2312"/>
        </w:rPr>
        <w:t>详见附件：技术服务合同条款及其他商务要求应答表.pdf</w:t>
      </w:r>
    </w:p>
    <w:p>
      <w:pPr>
        <w:pStyle w:val="null3"/>
        <w:ind w:firstLine="960"/>
      </w:pPr>
      <w:r>
        <w:rPr>
          <w:rFonts w:ascii="仿宋_GB2312" w:hAnsi="仿宋_GB2312" w:cs="仿宋_GB2312" w:eastAsia="仿宋_GB2312"/>
        </w:rPr>
        <w:t>详见附件：磋商方案.pdf</w:t>
      </w:r>
    </w:p>
    <w:p>
      <w:pPr>
        <w:pStyle w:val="null3"/>
        <w:ind w:firstLine="960"/>
      </w:pPr>
      <w:r>
        <w:rPr>
          <w:rFonts w:ascii="仿宋_GB2312" w:hAnsi="仿宋_GB2312" w:cs="仿宋_GB2312" w:eastAsia="仿宋_GB2312"/>
        </w:rPr>
        <w:t>详见附件：陕西省政府采购供应商拒绝政府采购领域商业贿赂承诺书.pdf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详见附件：合同范本（总包合同）.docx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