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版本号：HL-ZB2508120250924001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蓝田县公安局城关派出所视频平台及网络建设项目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HL-ZB25081</w:t>
      </w:r>
      <w:r>
        <w:br/>
      </w:r>
      <w:r>
        <w:br/>
      </w:r>
      <w:r>
        <w:br/>
      </w:r>
    </w:p>
    <w:p>
      <w:pPr>
        <w:pStyle w:val="null3"/>
        <w:jc w:val="center"/>
        <w:outlineLvl w:val="2"/>
      </w:pPr>
      <w:r>
        <w:rPr>
          <w:rFonts w:ascii="仿宋_GB2312" w:hAnsi="仿宋_GB2312" w:cs="仿宋_GB2312" w:eastAsia="仿宋_GB2312"/>
          <w:sz w:val="28"/>
          <w:b/>
        </w:rPr>
        <w:t>西安市蓝田县公安局（本级）</w:t>
      </w:r>
    </w:p>
    <w:p>
      <w:pPr>
        <w:pStyle w:val="null3"/>
        <w:jc w:val="center"/>
        <w:outlineLvl w:val="2"/>
      </w:pPr>
      <w:r>
        <w:rPr>
          <w:rFonts w:ascii="仿宋_GB2312" w:hAnsi="仿宋_GB2312" w:cs="仿宋_GB2312" w:eastAsia="仿宋_GB2312"/>
          <w:sz w:val="28"/>
          <w:b/>
        </w:rPr>
        <w:t>陕西宏朗工程项目管理有限公司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陕西宏朗工程项目管理有限公司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西安市蓝田县公安局（本级）</w:t>
      </w:r>
      <w:r>
        <w:rPr>
          <w:rFonts w:ascii="仿宋_GB2312" w:hAnsi="仿宋_GB2312" w:cs="仿宋_GB2312" w:eastAsia="仿宋_GB2312"/>
        </w:rPr>
        <w:t>委托，拟对</w:t>
      </w:r>
      <w:r>
        <w:rPr>
          <w:rFonts w:ascii="仿宋_GB2312" w:hAnsi="仿宋_GB2312" w:cs="仿宋_GB2312" w:eastAsia="仿宋_GB2312"/>
        </w:rPr>
        <w:t>蓝田县公安局城关派出所视频平台及网络建设项目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HL-ZB25081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蓝田县公安局城关派出所视频平台及网络建设项目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项目建设包含视频监控平台及点位建设。视频监控平台及点位建设：通过部署开通视频视频监控平台，及前端60路监控点位建设（主要覆盖小区出入口、城中村出入口、重要路口等），并叠加视频云存、人员抓拍、车辆抓拍等功能，同时支持接入GA1400 AI人脸/车牌抓拍，将图片和结构化数据推送至公安视图库平台，满足视图大数据布控。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1、主体证明：供应商具有独立承担民事责任能力的法人、其他组织或自然人，并出具合法有效的营业执照或事业单位法人证书等国家规定的相关证明，自然人参与的提供其身份证明。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pPr>
        <w:pStyle w:val="null3"/>
      </w:pPr>
      <w:r>
        <w:rPr>
          <w:rFonts w:ascii="仿宋_GB2312" w:hAnsi="仿宋_GB2312" w:cs="仿宋_GB2312" w:eastAsia="仿宋_GB2312"/>
        </w:rPr>
        <w:t>3、社会保障资金缴纳证明：提供磋商响应文件递交截止时间前一年内任意1个月的社会保障资金缴纳凭证或证明，依法不需要缴纳社会保障资金的单位应提供相关证明材料；截止开标时成立时间不足一年的供应商提供实际交费凭证并出具相关声明函。</w:t>
      </w:r>
    </w:p>
    <w:p>
      <w:pPr>
        <w:pStyle w:val="null3"/>
      </w:pPr>
      <w:r>
        <w:rPr>
          <w:rFonts w:ascii="仿宋_GB2312" w:hAnsi="仿宋_GB2312" w:cs="仿宋_GB2312" w:eastAsia="仿宋_GB2312"/>
        </w:rPr>
        <w:t>4、税收缴纳证明：提供磋商响应文件递交截止时间前一年内任意1个月的纳税证明或完税证明，依法免税的单位应提供相证明材料；截止开标时成立时间不足一年的供应商提供实际交税凭证并出具相关声明函。</w:t>
      </w:r>
    </w:p>
    <w:p>
      <w:pPr>
        <w:pStyle w:val="null3"/>
      </w:pPr>
      <w:r>
        <w:rPr>
          <w:rFonts w:ascii="仿宋_GB2312" w:hAnsi="仿宋_GB2312" w:cs="仿宋_GB2312" w:eastAsia="仿宋_GB2312"/>
        </w:rPr>
        <w:t>5、信用查询：供应商未被“信用中国”网站（www.creditchina.gov.cn）列入失信被执行人和重大税收违法失信主体，未被中国政府采购网（www.ccgp.gov.cn）列入政府采购严重违法失信行为记录名单。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6、商业信誉：供应商应具备良好的商业信誉，提供参加政府采购活动前3年内在经营活动中没有重大违法记录的书面声明（原件加盖供应商公章）。</w:t>
      </w:r>
    </w:p>
    <w:p>
      <w:pPr>
        <w:pStyle w:val="null3"/>
      </w:pPr>
      <w:r>
        <w:rPr>
          <w:rFonts w:ascii="仿宋_GB2312" w:hAnsi="仿宋_GB2312" w:cs="仿宋_GB2312" w:eastAsia="仿宋_GB2312"/>
        </w:rPr>
        <w:t>7、专业技术能力证明：具备履行合同所必需的设备和专业技术能力的证明材料(由供应商根据项目需求提供证明材料或者承诺)。</w:t>
      </w:r>
    </w:p>
    <w:p>
      <w:pPr>
        <w:pStyle w:val="null3"/>
      </w:pPr>
      <w:r>
        <w:rPr>
          <w:rFonts w:ascii="仿宋_GB2312" w:hAnsi="仿宋_GB2312" w:cs="仿宋_GB2312" w:eastAsia="仿宋_GB2312"/>
        </w:rPr>
        <w:t>8、联合体磋商：本项目不接受联合体磋商，提供非联合体磋商声明。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蓝田县孝泉路8号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13572867891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陕西宏朗工程项目管理有限公司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西安市雁塔区太白南路181号西部电子社区西南门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029-81203481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采购包1：178,800.00元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代理服务费收费标准：参照《招标代理服务收费管理暂行办法》（计价格[2002]1980号）和《国家发展改革委办公厅关于招标代理服务收费有关问题的通知》（发改办价格[2003]857号）收取，不足6000元的按6000元收取。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西安市蓝田县公安局（本级）</w:t>
      </w:r>
      <w:r>
        <w:rPr>
          <w:rFonts w:ascii="仿宋_GB2312" w:hAnsi="仿宋_GB2312" w:cs="仿宋_GB2312" w:eastAsia="仿宋_GB2312"/>
        </w:rPr>
        <w:t>和</w:t>
      </w:r>
      <w:r>
        <w:rPr>
          <w:rFonts w:ascii="仿宋_GB2312" w:hAnsi="仿宋_GB2312" w:cs="仿宋_GB2312" w:eastAsia="仿宋_GB2312"/>
        </w:rPr>
        <w:t>陕西宏朗工程项目管理有限公司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西安市蓝田县公安局（本级）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陕西宏朗工程项目管理有限公司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西安市蓝田县公安局（本级）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陕西宏朗工程项目管理有限公司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符合国家标准及行业验收标准。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联系人：宋强</w:t>
      </w:r>
    </w:p>
    <w:p>
      <w:pPr>
        <w:pStyle w:val="null3"/>
      </w:pPr>
      <w:r>
        <w:rPr>
          <w:rFonts w:ascii="仿宋_GB2312" w:hAnsi="仿宋_GB2312" w:cs="仿宋_GB2312" w:eastAsia="仿宋_GB2312"/>
        </w:rPr>
        <w:t>联系电话：029-81203481</w:t>
      </w:r>
    </w:p>
    <w:p>
      <w:pPr>
        <w:pStyle w:val="null3"/>
      </w:pPr>
      <w:r>
        <w:rPr>
          <w:rFonts w:ascii="仿宋_GB2312" w:hAnsi="仿宋_GB2312" w:cs="仿宋_GB2312" w:eastAsia="仿宋_GB2312"/>
        </w:rPr>
        <w:t>地址：西安市雁塔区太白南路181号西部电子社区西南门</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建设包含视频监控平台及点位建设。视频监控平台及点位建设：通过部署开通视频视频监控平台，及前端60路监控点位建设（主要覆盖小区出入口、城中村出入口、重要路口等），并叠加视频云存、人员抓拍、车辆抓拍等功能，同时支持接入GA1400 AI人脸/车牌抓拍，将图片和结构化数据推送至公安视图库平台，满足视图大数据布控。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178,800.00</w:t>
      </w:r>
    </w:p>
    <w:p>
      <w:pPr>
        <w:pStyle w:val="null3"/>
      </w:pPr>
      <w:r>
        <w:rPr>
          <w:rFonts w:ascii="仿宋_GB2312" w:hAnsi="仿宋_GB2312" w:cs="仿宋_GB2312" w:eastAsia="仿宋_GB2312"/>
        </w:rPr>
        <w:t>采购包最高限价（元）: 178,800.00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蓝田县公安局城关派出所视频平台及网络建设项目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标的名称：蓝田县公安局城关派出所视频平台及网络建设项目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1"/>
            </w:pPr>
            <w:r>
              <w:rPr>
                <w:rFonts w:ascii="仿宋_GB2312" w:hAnsi="仿宋_GB2312" w:cs="仿宋_GB2312" w:eastAsia="仿宋_GB2312"/>
                <w:sz w:val="24"/>
                <w:b/>
              </w:rPr>
              <w:t>一、项目名称</w:t>
            </w:r>
          </w:p>
          <w:p>
            <w:pPr>
              <w:pStyle w:val="null3"/>
              <w:ind w:firstLine="480"/>
              <w:jc w:val="both"/>
            </w:pPr>
            <w:r>
              <w:rPr>
                <w:rFonts w:ascii="仿宋_GB2312" w:hAnsi="仿宋_GB2312" w:cs="仿宋_GB2312" w:eastAsia="仿宋_GB2312"/>
                <w:sz w:val="24"/>
              </w:rPr>
              <w:t>项目名称：蓝田县公安局城关派出所视频平台及网络建设项目</w:t>
            </w:r>
          </w:p>
          <w:p>
            <w:pPr>
              <w:pStyle w:val="null3"/>
              <w:jc w:val="left"/>
              <w:outlineLvl w:val="1"/>
            </w:pPr>
            <w:r>
              <w:rPr>
                <w:rFonts w:ascii="仿宋_GB2312" w:hAnsi="仿宋_GB2312" w:cs="仿宋_GB2312" w:eastAsia="仿宋_GB2312"/>
                <w:sz w:val="24"/>
                <w:b/>
              </w:rPr>
              <w:t>二、编制依据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1）《公共安全视频监控联网系统信息传输、交换、控制技术要求》(GB/T28181-2016)；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2）《公共安全视频监控数字视音频编解码技术要求》(GB/T25724-2017)；</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3）《公共安全视频监控联网信息安全技术要求》(GB35114-2017)；</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4）《视频监控联网共享系统技术规范》(DB61/T525-2011)；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5)《公共安全视频监控联网系统工程技术规范》(DB61/T1143-2018)；</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6）《安全防范工程技术标准》(GB50348-2018)；</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《安全防范系统雷电浪涌防护技术要求》(GA/T670-2006)</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8）《建筑物电子信息系统防雷技术规范》(GB50343-2012)；</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9）《建筑与建筑群综合布线系统工程设计规范》(GB/T50311-2016)；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（GB50395-2007)</w:t>
            </w:r>
            <w:r>
              <w:rPr>
                <w:rFonts w:ascii="仿宋_GB2312" w:hAnsi="仿宋_GB2312" w:cs="仿宋_GB2312" w:eastAsia="仿宋_GB2312"/>
                <w:sz w:val="24"/>
              </w:rPr>
              <w:t>等</w:t>
            </w:r>
            <w:r>
              <w:rPr>
                <w:rFonts w:ascii="仿宋_GB2312" w:hAnsi="仿宋_GB2312" w:cs="仿宋_GB2312" w:eastAsia="仿宋_GB2312"/>
                <w:sz w:val="24"/>
              </w:rPr>
              <w:t>。</w:t>
            </w:r>
          </w:p>
          <w:p>
            <w:pPr>
              <w:pStyle w:val="null3"/>
              <w:jc w:val="left"/>
              <w:outlineLvl w:val="2"/>
            </w:pPr>
            <w:r>
              <w:rPr>
                <w:rFonts w:ascii="仿宋_GB2312" w:hAnsi="仿宋_GB2312" w:cs="仿宋_GB2312" w:eastAsia="仿宋_GB2312"/>
                <w:sz w:val="24"/>
                <w:b/>
              </w:rPr>
              <w:t>三、建设目标</w:t>
            </w:r>
          </w:p>
          <w:p>
            <w:pPr>
              <w:pStyle w:val="null3"/>
              <w:ind w:firstLine="480"/>
              <w:jc w:val="both"/>
            </w:pPr>
            <w:r>
              <w:rPr>
                <w:rFonts w:ascii="仿宋_GB2312" w:hAnsi="仿宋_GB2312" w:cs="仿宋_GB2312" w:eastAsia="仿宋_GB2312"/>
                <w:sz w:val="24"/>
              </w:rPr>
              <w:t>基于视联网底座能力，打造智慧派出所平台，构建现代警务模式，持续提升基层治安治理能力，减轻基层民警负担，提升群众安全感。构建基层智慧警务防控体系，通过车牌识别、人相比对、行为分析、目标筛</w:t>
            </w:r>
            <w:r>
              <w:rPr>
                <w:rFonts w:ascii="仿宋_GB2312" w:hAnsi="仿宋_GB2312" w:cs="仿宋_GB2312" w:eastAsia="仿宋_GB2312"/>
                <w:sz w:val="24"/>
              </w:rPr>
              <w:t>查等技术在基层应用，构建警务防控基础。丰富数字化治理手段，对基层派出所的设施进行智能化升级，深化数据信息的预测预警、实时监控、轨迹追踪、快速检索等智能应用。打造治安视频预警防控网络，</w:t>
            </w:r>
            <w:r>
              <w:rPr>
                <w:rFonts w:ascii="仿宋_GB2312" w:hAnsi="仿宋_GB2312" w:cs="仿宋_GB2312" w:eastAsia="仿宋_GB2312"/>
                <w:sz w:val="24"/>
              </w:rPr>
              <w:t>实现</w:t>
            </w:r>
            <w:r>
              <w:rPr>
                <w:rFonts w:ascii="仿宋_GB2312" w:hAnsi="仿宋_GB2312" w:cs="仿宋_GB2312" w:eastAsia="仿宋_GB2312"/>
                <w:sz w:val="24"/>
              </w:rPr>
              <w:t>“实地可监控、风险可预知、保护可提前”</w:t>
            </w:r>
            <w:r>
              <w:rPr>
                <w:rFonts w:ascii="仿宋_GB2312" w:hAnsi="仿宋_GB2312" w:cs="仿宋_GB2312" w:eastAsia="仿宋_GB2312"/>
                <w:sz w:val="24"/>
              </w:rPr>
              <w:t>。实现警情可视可控，尤其发生突发的案件，警员需要实时掌握案件视图情况进行实时取证，以及必要的应急指挥管理。</w:t>
            </w:r>
          </w:p>
          <w:p>
            <w:pPr>
              <w:pStyle w:val="null3"/>
              <w:ind w:firstLine="480"/>
              <w:jc w:val="both"/>
            </w:pPr>
            <w:r>
              <w:rPr>
                <w:rFonts w:ascii="仿宋_GB2312" w:hAnsi="仿宋_GB2312" w:cs="仿宋_GB2312" w:eastAsia="仿宋_GB2312"/>
                <w:sz w:val="24"/>
              </w:rPr>
              <w:t>围绕公共安全社会视频资源点位建设，构建完善一体化数字安防运行体系，提升案件的侦办能力，保障人民群众生命财产安全及社会稳定性。为蓝田公安、派出所多级联动、协同处置、决策指挥、公众服务、考核评价提供有力支撑。</w:t>
            </w:r>
          </w:p>
          <w:p>
            <w:pPr>
              <w:pStyle w:val="null3"/>
              <w:jc w:val="left"/>
              <w:outlineLvl w:val="2"/>
            </w:pPr>
            <w:r>
              <w:rPr>
                <w:rFonts w:ascii="仿宋_GB2312" w:hAnsi="仿宋_GB2312" w:cs="仿宋_GB2312" w:eastAsia="仿宋_GB2312"/>
                <w:sz w:val="24"/>
                <w:b/>
              </w:rPr>
              <w:t>四、建设规模</w:t>
            </w:r>
          </w:p>
          <w:p>
            <w:pPr>
              <w:pStyle w:val="null3"/>
              <w:ind w:firstLine="480"/>
              <w:jc w:val="both"/>
            </w:pPr>
            <w:r>
              <w:rPr>
                <w:rFonts w:ascii="仿宋_GB2312" w:hAnsi="仿宋_GB2312" w:cs="仿宋_GB2312" w:eastAsia="仿宋_GB2312"/>
                <w:sz w:val="24"/>
              </w:rPr>
              <w:t>经调研统计，本工程共规划建设前端摄像机总数为</w:t>
            </w:r>
            <w:r>
              <w:rPr>
                <w:rFonts w:ascii="仿宋_GB2312" w:hAnsi="仿宋_GB2312" w:cs="仿宋_GB2312" w:eastAsia="仿宋_GB2312"/>
                <w:sz w:val="24"/>
              </w:rPr>
              <w:t>200路，通过运营商互联网宽带传输至云端平台，并在派出所指挥中心汇聚使用。</w:t>
            </w:r>
          </w:p>
          <w:p>
            <w:pPr>
              <w:pStyle w:val="null3"/>
              <w:jc w:val="left"/>
              <w:outlineLvl w:val="2"/>
            </w:pPr>
            <w:r>
              <w:rPr>
                <w:rFonts w:ascii="仿宋_GB2312" w:hAnsi="仿宋_GB2312" w:cs="仿宋_GB2312" w:eastAsia="仿宋_GB2312"/>
                <w:sz w:val="24"/>
                <w:b/>
              </w:rPr>
              <w:t>五、建设内容</w:t>
            </w:r>
          </w:p>
          <w:p>
            <w:pPr>
              <w:pStyle w:val="null3"/>
              <w:ind w:firstLine="480"/>
              <w:jc w:val="both"/>
            </w:pPr>
            <w:r>
              <w:rPr>
                <w:rFonts w:ascii="仿宋_GB2312" w:hAnsi="仿宋_GB2312" w:cs="仿宋_GB2312" w:eastAsia="仿宋_GB2312"/>
                <w:sz w:val="24"/>
              </w:rPr>
              <w:t>本次项目建设包含</w:t>
            </w:r>
            <w:r>
              <w:rPr>
                <w:rFonts w:ascii="仿宋_GB2312" w:hAnsi="仿宋_GB2312" w:cs="仿宋_GB2312" w:eastAsia="仿宋_GB2312"/>
                <w:sz w:val="24"/>
              </w:rPr>
              <w:t>视频监控平台及点位建设</w:t>
            </w:r>
            <w:r>
              <w:rPr>
                <w:rFonts w:ascii="仿宋_GB2312" w:hAnsi="仿宋_GB2312" w:cs="仿宋_GB2312" w:eastAsia="仿宋_GB2312"/>
                <w:sz w:val="24"/>
              </w:rPr>
              <w:t>。</w:t>
            </w:r>
            <w:r>
              <w:rPr>
                <w:rFonts w:ascii="仿宋_GB2312" w:hAnsi="仿宋_GB2312" w:cs="仿宋_GB2312" w:eastAsia="仿宋_GB2312"/>
                <w:sz w:val="24"/>
              </w:rPr>
              <w:t>视频监控平台及点位建设</w:t>
            </w:r>
            <w:r>
              <w:rPr>
                <w:rFonts w:ascii="仿宋_GB2312" w:hAnsi="仿宋_GB2312" w:cs="仿宋_GB2312" w:eastAsia="仿宋_GB2312"/>
                <w:sz w:val="24"/>
              </w:rPr>
              <w:t>：</w:t>
            </w:r>
            <w:r>
              <w:rPr>
                <w:rFonts w:ascii="仿宋_GB2312" w:hAnsi="仿宋_GB2312" w:cs="仿宋_GB2312" w:eastAsia="仿宋_GB2312"/>
                <w:sz w:val="24"/>
              </w:rPr>
              <w:t>通过部署开通视频视频监控平台，及前端</w:t>
            </w:r>
            <w:r>
              <w:rPr>
                <w:rFonts w:ascii="仿宋_GB2312" w:hAnsi="仿宋_GB2312" w:cs="仿宋_GB2312" w:eastAsia="仿宋_GB2312"/>
                <w:sz w:val="24"/>
              </w:rPr>
              <w:t>60路监控点位建设（主要覆盖小区出入口、城中村出入口、重要路口等），并叠加视频云存、人员抓拍、车辆抓拍等功能，同时支持接入GA1400 AI人脸/车牌抓拍，将图片和结构化数据推送至公安视图库平台，满足视图大数据布控。</w:t>
            </w:r>
          </w:p>
          <w:p>
            <w:pPr>
              <w:pStyle w:val="null3"/>
              <w:jc w:val="both"/>
            </w:pPr>
            <w:r>
              <w:rPr>
                <w:rFonts w:ascii="仿宋_GB2312" w:hAnsi="仿宋_GB2312" w:cs="仿宋_GB2312" w:eastAsia="仿宋_GB2312"/>
                <w:sz w:val="24"/>
                <w:b/>
              </w:rPr>
              <w:t>六、技术要求（包括对产品的认证、检验报告等）</w:t>
            </w:r>
          </w:p>
          <w:p>
            <w:pPr>
              <w:pStyle w:val="null3"/>
              <w:ind w:firstLine="480"/>
              <w:jc w:val="both"/>
            </w:pPr>
            <w:r>
              <w:rPr>
                <w:rFonts w:ascii="仿宋_GB2312" w:hAnsi="仿宋_GB2312" w:cs="仿宋_GB2312" w:eastAsia="仿宋_GB2312"/>
                <w:sz w:val="24"/>
              </w:rPr>
              <w:t>1、产品运抵采购人所在地现场后，采购人与供货商共同验收，验收结果双方认可。</w:t>
            </w:r>
          </w:p>
          <w:p>
            <w:pPr>
              <w:pStyle w:val="null3"/>
              <w:ind w:firstLine="480"/>
              <w:jc w:val="both"/>
            </w:pPr>
            <w:r>
              <w:rPr>
                <w:rFonts w:ascii="仿宋_GB2312" w:hAnsi="仿宋_GB2312" w:cs="仿宋_GB2312" w:eastAsia="仿宋_GB2312"/>
                <w:sz w:val="24"/>
              </w:rPr>
              <w:t>2、必须保证投标商品的完整性，能满足全部功能的使用。</w:t>
            </w:r>
          </w:p>
          <w:p>
            <w:pPr>
              <w:pStyle w:val="null3"/>
              <w:ind w:firstLine="480"/>
              <w:jc w:val="both"/>
            </w:pPr>
            <w:r>
              <w:rPr>
                <w:rFonts w:ascii="仿宋_GB2312" w:hAnsi="仿宋_GB2312" w:cs="仿宋_GB2312" w:eastAsia="仿宋_GB2312"/>
                <w:sz w:val="24"/>
              </w:rPr>
              <w:t>3、提供的产品（技术指标除另作规定外）均应符合行业相关标准。必须对供货的的商品进行检验。由采购人组织验收，并出具验收结果和意见，供货商负责向验收组提交验收所需文件和相关资料（如检测报告等）。</w:t>
            </w:r>
          </w:p>
          <w:p>
            <w:pPr>
              <w:pStyle w:val="null3"/>
              <w:ind w:firstLine="480"/>
              <w:jc w:val="both"/>
            </w:pPr>
            <w:r>
              <w:rPr>
                <w:rFonts w:ascii="仿宋_GB2312" w:hAnsi="仿宋_GB2312" w:cs="仿宋_GB2312" w:eastAsia="仿宋_GB2312"/>
                <w:sz w:val="24"/>
              </w:rPr>
              <w:t>4、产品的包装应为生产厂商出产时的原包装，包装箱内必须附有详细的装箱清单。</w:t>
            </w:r>
          </w:p>
          <w:p>
            <w:pPr>
              <w:pStyle w:val="null3"/>
              <w:ind w:firstLine="480"/>
              <w:jc w:val="both"/>
            </w:pPr>
            <w:r>
              <w:rPr>
                <w:rFonts w:ascii="仿宋_GB2312" w:hAnsi="仿宋_GB2312" w:cs="仿宋_GB2312" w:eastAsia="仿宋_GB2312"/>
                <w:sz w:val="24"/>
              </w:rPr>
              <w:t>所有设备均需符合国家质量标准，必须符合环保标准及相关标准，通过国家质量相关检验合格。</w:t>
            </w:r>
          </w:p>
          <w:p>
            <w:pPr>
              <w:pStyle w:val="null3"/>
              <w:jc w:val="both"/>
            </w:pPr>
            <w:r>
              <w:rPr>
                <w:rFonts w:ascii="仿宋_GB2312" w:hAnsi="仿宋_GB2312" w:cs="仿宋_GB2312" w:eastAsia="仿宋_GB2312"/>
                <w:sz w:val="24"/>
                <w:b/>
              </w:rPr>
              <w:t>七、服务要求（如对人员配置、专业设备、服务标准等）</w:t>
            </w:r>
          </w:p>
          <w:p>
            <w:pPr>
              <w:pStyle w:val="null3"/>
              <w:ind w:firstLine="480"/>
              <w:jc w:val="both"/>
            </w:pPr>
            <w:r>
              <w:rPr>
                <w:rFonts w:ascii="仿宋_GB2312" w:hAnsi="仿宋_GB2312" w:cs="仿宋_GB2312" w:eastAsia="仿宋_GB2312"/>
                <w:sz w:val="24"/>
              </w:rPr>
              <w:t>在设备安装期间，供应商加强安全措施</w:t>
            </w:r>
            <w:r>
              <w:rPr>
                <w:rFonts w:ascii="仿宋_GB2312" w:hAnsi="仿宋_GB2312" w:cs="仿宋_GB2312" w:eastAsia="仿宋_GB2312"/>
                <w:sz w:val="24"/>
              </w:rPr>
              <w:t>, 并对安装人员进行安全教育，安装人员必须持证上岗。</w:t>
            </w:r>
          </w:p>
          <w:p>
            <w:pPr>
              <w:pStyle w:val="null3"/>
              <w:jc w:val="both"/>
            </w:pPr>
            <w:r>
              <w:rPr>
                <w:rFonts w:ascii="仿宋_GB2312" w:hAnsi="仿宋_GB2312" w:cs="仿宋_GB2312" w:eastAsia="仿宋_GB2312"/>
                <w:sz w:val="24"/>
                <w:b/>
              </w:rPr>
              <w:t>八、质量验收标准：</w:t>
            </w:r>
          </w:p>
          <w:p>
            <w:pPr>
              <w:pStyle w:val="null3"/>
              <w:jc w:val="both"/>
            </w:pPr>
            <w:r>
              <w:rPr>
                <w:rFonts w:ascii="仿宋_GB2312" w:hAnsi="仿宋_GB2312" w:cs="仿宋_GB2312" w:eastAsia="仿宋_GB2312"/>
                <w:sz w:val="24"/>
              </w:rPr>
              <w:t>（一）质量验收标准或规范达到国家现行合格标准。</w:t>
            </w:r>
          </w:p>
          <w:p>
            <w:pPr>
              <w:pStyle w:val="null3"/>
              <w:jc w:val="both"/>
            </w:pPr>
            <w:r>
              <w:rPr>
                <w:rFonts w:ascii="仿宋_GB2312" w:hAnsi="仿宋_GB2312" w:cs="仿宋_GB2312" w:eastAsia="仿宋_GB2312"/>
                <w:sz w:val="24"/>
              </w:rPr>
              <w:t>（二）质保期：自验收合格后</w:t>
            </w:r>
            <w:r>
              <w:rPr>
                <w:rFonts w:ascii="仿宋_GB2312" w:hAnsi="仿宋_GB2312" w:cs="仿宋_GB2312" w:eastAsia="仿宋_GB2312"/>
                <w:sz w:val="24"/>
              </w:rPr>
              <w:t>3</w:t>
            </w:r>
            <w:r>
              <w:rPr>
                <w:rFonts w:ascii="仿宋_GB2312" w:hAnsi="仿宋_GB2312" w:cs="仿宋_GB2312" w:eastAsia="仿宋_GB2312"/>
                <w:sz w:val="24"/>
              </w:rPr>
              <w:t>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143"/>
              <w:gridCol w:w="224"/>
              <w:gridCol w:w="342"/>
              <w:gridCol w:w="1170"/>
              <w:gridCol w:w="224"/>
              <w:gridCol w:w="224"/>
              <w:gridCol w:w="224"/>
            </w:tblGrid>
            <w:tr>
              <w:tc>
                <w:tcPr>
                  <w:tcW w:type="dxa" w:w="2551"/>
                  <w:gridSpan w:val="7"/>
                  <w:tcBorders>
                    <w:top w:val="none" w:color="000000" w:sz="4"/>
                    <w:left w:val="non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rPr>
                    <w:t>城关派出所-视频监控平台及监控点位清单</w:t>
                  </w: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b/>
                    </w:rPr>
                    <w:t>序号</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rPr>
                    <w:t>类别</w:t>
                  </w:r>
                </w:p>
              </w:tc>
              <w:tc>
                <w:tcPr>
                  <w:tcW w:type="dxa" w:w="3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b/>
                    </w:rPr>
                    <w:t>项目名称</w:t>
                  </w:r>
                </w:p>
              </w:tc>
              <w:tc>
                <w:tcPr>
                  <w:tcW w:type="dxa" w:w="1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b/>
                    </w:rPr>
                    <w:t>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b/>
                    </w:rPr>
                    <w:t>单位</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b/>
                    </w:rPr>
                    <w:t>数量</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rPr>
                    <w:t>服务周期（月）</w:t>
                  </w:r>
                </w:p>
              </w:tc>
            </w:tr>
            <w:tr>
              <w:tc>
                <w:tcPr>
                  <w:tcW w:type="dxa" w:w="1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2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rPr>
                    <w:t>视频监控平台</w:t>
                  </w:r>
                </w:p>
              </w:tc>
              <w:tc>
                <w:tcPr>
                  <w:tcW w:type="dxa" w:w="3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平台管理端</w:t>
                  </w:r>
                </w:p>
              </w:tc>
              <w:tc>
                <w:tcPr>
                  <w:tcW w:type="dxa" w:w="1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rPr>
                    <w:t>1、城关派出所视频监控平台超级管理员</w:t>
                  </w:r>
                  <w:r>
                    <w:rPr>
                      <w:rFonts w:ascii="仿宋_GB2312" w:hAnsi="仿宋_GB2312" w:cs="仿宋_GB2312" w:eastAsia="仿宋_GB2312"/>
                      <w:sz w:val="20"/>
                    </w:rPr>
                    <w:t>lesence</w:t>
                  </w:r>
                  <w:r>
                    <w:rPr>
                      <w:rFonts w:ascii="仿宋_GB2312" w:hAnsi="仿宋_GB2312" w:cs="仿宋_GB2312" w:eastAsia="仿宋_GB2312"/>
                      <w:sz w:val="20"/>
                    </w:rPr>
                    <w:t>授权，接入授权200路权限</w:t>
                  </w:r>
                  <w:r>
                    <w:br/>
                  </w:r>
                  <w:r>
                    <w:rPr>
                      <w:rFonts w:ascii="仿宋_GB2312" w:hAnsi="仿宋_GB2312" w:cs="仿宋_GB2312" w:eastAsia="仿宋_GB2312"/>
                      <w:sz w:val="20"/>
                    </w:rPr>
                    <w:t xml:space="preserve"> 2、视频监控平台集约运营平台和云储存能力，提供的云网融合视频监控能力。包含设备接入服务、流媒体服务、云存与AI服务、设备管理服务、手机端服务、PC端服务、流媒体播放服务、消息告警服务、安全模块服务、鉴权与版本更新服务、能力开放对接服务、统一运行维护服务等功能。</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36</w:t>
                  </w:r>
                </w:p>
              </w:tc>
            </w:tr>
            <w:tr>
              <w:tc>
                <w:tcPr>
                  <w:tcW w:type="dxa" w:w="1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24"/>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rPr>
                    <w:t>前端新建点位接入服务</w:t>
                  </w:r>
                </w:p>
              </w:tc>
              <w:tc>
                <w:tcPr>
                  <w:tcW w:type="dxa" w:w="3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30天云回看</w:t>
                  </w:r>
                  <w:r>
                    <w:br/>
                  </w:r>
                  <w:r>
                    <w:rPr>
                      <w:rFonts w:ascii="仿宋_GB2312" w:hAnsi="仿宋_GB2312" w:cs="仿宋_GB2312" w:eastAsia="仿宋_GB2312"/>
                      <w:sz w:val="19"/>
                    </w:rPr>
                    <w:t xml:space="preserve"> （含抓拍摄像头）</w:t>
                  </w:r>
                </w:p>
              </w:tc>
              <w:tc>
                <w:tcPr>
                  <w:tcW w:type="dxa" w:w="1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rPr>
                    <w:t>1</w:t>
                  </w:r>
                  <w:r>
                    <w:rPr>
                      <w:rFonts w:ascii="仿宋_GB2312" w:hAnsi="仿宋_GB2312" w:cs="仿宋_GB2312" w:eastAsia="仿宋_GB2312"/>
                      <w:sz w:val="20"/>
                    </w:rPr>
                    <w:t>、每点位开通30天云存储回看功能</w:t>
                  </w:r>
                  <w:r>
                    <w:br/>
                  </w:r>
                  <w:r>
                    <w:rPr>
                      <w:rFonts w:ascii="仿宋_GB2312" w:hAnsi="仿宋_GB2312" w:cs="仿宋_GB2312" w:eastAsia="仿宋_GB2312"/>
                      <w:sz w:val="20"/>
                    </w:rPr>
                    <w:t>2</w:t>
                  </w:r>
                  <w:r>
                    <w:rPr>
                      <w:rFonts w:ascii="仿宋_GB2312" w:hAnsi="仿宋_GB2312" w:cs="仿宋_GB2312" w:eastAsia="仿宋_GB2312"/>
                      <w:sz w:val="20"/>
                    </w:rPr>
                    <w:t>、每点位含</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400</w:t>
                  </w:r>
                  <w:r>
                    <w:rPr>
                      <w:rFonts w:ascii="仿宋_GB2312" w:hAnsi="仿宋_GB2312" w:cs="仿宋_GB2312" w:eastAsia="仿宋_GB2312"/>
                      <w:sz w:val="20"/>
                    </w:rPr>
                    <w:t>万像素高清枪机摄像头，4-8</w:t>
                  </w:r>
                  <w:r>
                    <w:rPr>
                      <w:rFonts w:ascii="仿宋_GB2312" w:hAnsi="仿宋_GB2312" w:cs="仿宋_GB2312" w:eastAsia="仿宋_GB2312"/>
                      <w:sz w:val="20"/>
                    </w:rPr>
                    <w:t>mm</w:t>
                  </w:r>
                  <w:r>
                    <w:rPr>
                      <w:rFonts w:ascii="仿宋_GB2312" w:hAnsi="仿宋_GB2312" w:cs="仿宋_GB2312" w:eastAsia="仿宋_GB2312"/>
                      <w:sz w:val="20"/>
                    </w:rPr>
                    <w:t>镜头，</w:t>
                  </w:r>
                  <w:r>
                    <w:rPr>
                      <w:rFonts w:ascii="仿宋_GB2312" w:hAnsi="仿宋_GB2312" w:cs="仿宋_GB2312" w:eastAsia="仿宋_GB2312"/>
                      <w:sz w:val="20"/>
                    </w:rPr>
                    <w:t>poe</w:t>
                  </w:r>
                  <w:r>
                    <w:rPr>
                      <w:rFonts w:ascii="仿宋_GB2312" w:hAnsi="仿宋_GB2312" w:cs="仿宋_GB2312" w:eastAsia="仿宋_GB2312"/>
                      <w:sz w:val="20"/>
                    </w:rPr>
                    <w:t>供电，红外夜视，内置麦克风，双向语音对讲，可扩展内存卡，</w:t>
                  </w:r>
                  <w:r>
                    <w:rPr>
                      <w:rFonts w:ascii="仿宋_GB2312" w:hAnsi="仿宋_GB2312" w:cs="仿宋_GB2312" w:eastAsia="仿宋_GB2312"/>
                      <w:sz w:val="20"/>
                    </w:rPr>
                    <w:t>IP66</w:t>
                  </w:r>
                  <w:r>
                    <w:rPr>
                      <w:rFonts w:ascii="仿宋_GB2312" w:hAnsi="仿宋_GB2312" w:cs="仿宋_GB2312" w:eastAsia="仿宋_GB2312"/>
                      <w:sz w:val="20"/>
                    </w:rPr>
                    <w:t>防水防尘</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rPr>
                    <w:t>点</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60</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36</w:t>
                  </w:r>
                </w:p>
              </w:tc>
            </w:tr>
            <w:tr>
              <w:tc>
                <w:tcPr>
                  <w:tcW w:type="dxa" w:w="1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rPr>
                    <w:t>3</w:t>
                  </w:r>
                </w:p>
              </w:tc>
              <w:tc>
                <w:tcPr>
                  <w:tcW w:type="dxa" w:w="224"/>
                  <w:vMerge/>
                  <w:tcBorders>
                    <w:top w:val="single" w:color="000000" w:sz="4"/>
                    <w:left w:val="single" w:color="000000" w:sz="4"/>
                    <w:bottom w:val="single" w:color="000000" w:sz="4"/>
                    <w:right w:val="single" w:color="000000" w:sz="4"/>
                  </w:tcBorders>
                </w:tcPr>
                <w:p/>
              </w:tc>
              <w:tc>
                <w:tcPr>
                  <w:tcW w:type="dxa" w:w="3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rPr>
                    <w:t>云宽带（</w:t>
                  </w:r>
                  <w:r>
                    <w:rPr>
                      <w:rFonts w:ascii="仿宋_GB2312" w:hAnsi="仿宋_GB2312" w:cs="仿宋_GB2312" w:eastAsia="仿宋_GB2312"/>
                      <w:sz w:val="20"/>
                    </w:rPr>
                    <w:t>10M</w:t>
                  </w:r>
                  <w:r>
                    <w:rPr>
                      <w:rFonts w:ascii="仿宋_GB2312" w:hAnsi="仿宋_GB2312" w:cs="仿宋_GB2312" w:eastAsia="仿宋_GB2312"/>
                      <w:sz w:val="20"/>
                    </w:rPr>
                    <w:t>）</w:t>
                  </w:r>
                </w:p>
              </w:tc>
              <w:tc>
                <w:tcPr>
                  <w:tcW w:type="dxa" w:w="1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0"/>
                    </w:rPr>
                    <w:t>每点位一条</w:t>
                  </w:r>
                  <w:r>
                    <w:rPr>
                      <w:rFonts w:ascii="仿宋_GB2312" w:hAnsi="仿宋_GB2312" w:cs="仿宋_GB2312" w:eastAsia="仿宋_GB2312"/>
                      <w:sz w:val="20"/>
                    </w:rPr>
                    <w:t>10M</w:t>
                  </w:r>
                  <w:r>
                    <w:rPr>
                      <w:rFonts w:ascii="仿宋_GB2312" w:hAnsi="仿宋_GB2312" w:cs="仿宋_GB2312" w:eastAsia="仿宋_GB2312"/>
                      <w:sz w:val="20"/>
                    </w:rPr>
                    <w:t>视联网专用宽带，用于监控点入网传输</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rPr>
                    <w:t>条</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60</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36</w:t>
                  </w:r>
                </w:p>
              </w:tc>
            </w:tr>
            <w:tr>
              <w:tc>
                <w:tcPr>
                  <w:tcW w:type="dxa" w:w="1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rPr>
                    <w:t>4</w:t>
                  </w:r>
                </w:p>
              </w:tc>
              <w:tc>
                <w:tcPr>
                  <w:tcW w:type="dxa" w:w="224"/>
                  <w:vMerge/>
                  <w:tcBorders>
                    <w:top w:val="single" w:color="000000" w:sz="4"/>
                    <w:left w:val="single" w:color="000000" w:sz="4"/>
                    <w:bottom w:val="single" w:color="000000" w:sz="4"/>
                    <w:right w:val="single" w:color="000000" w:sz="4"/>
                  </w:tcBorders>
                </w:tcPr>
                <w:p/>
              </w:tc>
              <w:tc>
                <w:tcPr>
                  <w:tcW w:type="dxa" w:w="3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rPr>
                    <w:t>AI</w:t>
                  </w:r>
                  <w:r>
                    <w:rPr>
                      <w:rFonts w:ascii="仿宋_GB2312" w:hAnsi="仿宋_GB2312" w:cs="仿宋_GB2312" w:eastAsia="仿宋_GB2312"/>
                      <w:sz w:val="20"/>
                    </w:rPr>
                    <w:t>算法</w:t>
                  </w:r>
                </w:p>
              </w:tc>
              <w:tc>
                <w:tcPr>
                  <w:tcW w:type="dxa" w:w="1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每点位叠加一种视联网</w:t>
                  </w:r>
                  <w:r>
                    <w:rPr>
                      <w:rFonts w:ascii="仿宋_GB2312" w:hAnsi="仿宋_GB2312" w:cs="仿宋_GB2312" w:eastAsia="仿宋_GB2312"/>
                      <w:sz w:val="20"/>
                    </w:rPr>
                    <w:t>AI</w:t>
                  </w:r>
                  <w:r>
                    <w:rPr>
                      <w:rFonts w:ascii="仿宋_GB2312" w:hAnsi="仿宋_GB2312" w:cs="仿宋_GB2312" w:eastAsia="仿宋_GB2312"/>
                      <w:sz w:val="20"/>
                    </w:rPr>
                    <w:t>算法，云端远程</w:t>
                  </w:r>
                  <w:r>
                    <w:rPr>
                      <w:rFonts w:ascii="仿宋_GB2312" w:hAnsi="仿宋_GB2312" w:cs="仿宋_GB2312" w:eastAsia="仿宋_GB2312"/>
                      <w:sz w:val="20"/>
                    </w:rPr>
                    <w:t>AI</w:t>
                  </w:r>
                  <w:r>
                    <w:rPr>
                      <w:rFonts w:ascii="仿宋_GB2312" w:hAnsi="仿宋_GB2312" w:cs="仿宋_GB2312" w:eastAsia="仿宋_GB2312"/>
                      <w:sz w:val="20"/>
                    </w:rPr>
                    <w:t>算法分析及回馈，可在区域入侵、车牌布控、人脸布控、人群聚集等场景中任选一种</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rPr>
                    <w:t>点</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60</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36</w:t>
                  </w:r>
                </w:p>
              </w:tc>
            </w:tr>
            <w:tr>
              <w:tc>
                <w:tcPr>
                  <w:tcW w:type="dxa" w:w="1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rPr>
                    <w:t>5</w:t>
                  </w:r>
                </w:p>
              </w:tc>
              <w:tc>
                <w:tcPr>
                  <w:tcW w:type="dxa" w:w="224"/>
                  <w:vMerge/>
                  <w:tcBorders>
                    <w:top w:val="single" w:color="000000" w:sz="4"/>
                    <w:left w:val="single" w:color="000000" w:sz="4"/>
                    <w:bottom w:val="single" w:color="000000" w:sz="4"/>
                    <w:right w:val="single" w:color="000000" w:sz="4"/>
                  </w:tcBorders>
                </w:tcPr>
                <w:p/>
              </w:tc>
              <w:tc>
                <w:tcPr>
                  <w:tcW w:type="dxa" w:w="3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前端点位实施接入服务</w:t>
                  </w:r>
                </w:p>
              </w:tc>
              <w:tc>
                <w:tcPr>
                  <w:tcW w:type="dxa" w:w="1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w:t>
                  </w:r>
                  <w:r>
                    <w:rPr>
                      <w:rFonts w:ascii="仿宋_GB2312" w:hAnsi="仿宋_GB2312" w:cs="仿宋_GB2312" w:eastAsia="仿宋_GB2312"/>
                      <w:sz w:val="20"/>
                    </w:rPr>
                    <w:t>、包含监控点的接入、账号、上平台汇聚等</w:t>
                  </w:r>
                  <w:r>
                    <w:br/>
                  </w:r>
                  <w:r>
                    <w:rPr>
                      <w:rFonts w:ascii="仿宋_GB2312" w:hAnsi="仿宋_GB2312" w:cs="仿宋_GB2312" w:eastAsia="仿宋_GB2312"/>
                      <w:sz w:val="20"/>
                    </w:rPr>
                    <w:t>2</w:t>
                  </w:r>
                  <w:r>
                    <w:rPr>
                      <w:rFonts w:ascii="仿宋_GB2312" w:hAnsi="仿宋_GB2312" w:cs="仿宋_GB2312" w:eastAsia="仿宋_GB2312"/>
                      <w:sz w:val="20"/>
                    </w:rPr>
                    <w:t>、包含摄像头的安装、布线、熔纤、调试等。</w:t>
                  </w:r>
                  <w:r>
                    <w:br/>
                  </w:r>
                  <w:r>
                    <w:rPr>
                      <w:rFonts w:ascii="仿宋_GB2312" w:hAnsi="仿宋_GB2312" w:cs="仿宋_GB2312" w:eastAsia="仿宋_GB2312"/>
                      <w:sz w:val="20"/>
                    </w:rPr>
                    <w:t>3</w:t>
                  </w:r>
                  <w:r>
                    <w:rPr>
                      <w:rFonts w:ascii="仿宋_GB2312" w:hAnsi="仿宋_GB2312" w:cs="仿宋_GB2312" w:eastAsia="仿宋_GB2312"/>
                      <w:sz w:val="20"/>
                    </w:rPr>
                    <w:t>、包含施工辅材辅料，包含网线、电源线、防水箱、光纤、法兰、尾纤、开关、线管、线槽、五金件等。</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rPr>
                    <w:t>点</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60</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rPr>
                    <w:t>一次性费用</w:t>
                  </w:r>
                </w:p>
              </w:tc>
            </w:tr>
            <w:tr>
              <w:tc>
                <w:tcPr>
                  <w:tcW w:type="dxa" w:w="1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rPr>
                    <w:t>6</w:t>
                  </w:r>
                </w:p>
              </w:tc>
              <w:tc>
                <w:tcPr>
                  <w:tcW w:type="dxa" w:w="224"/>
                  <w:vMerge/>
                  <w:tcBorders>
                    <w:top w:val="single" w:color="000000" w:sz="4"/>
                    <w:left w:val="single" w:color="000000" w:sz="4"/>
                    <w:bottom w:val="single" w:color="000000" w:sz="4"/>
                    <w:right w:val="single" w:color="000000" w:sz="4"/>
                  </w:tcBorders>
                </w:tcPr>
                <w:p/>
              </w:tc>
              <w:tc>
                <w:tcPr>
                  <w:tcW w:type="dxa" w:w="3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点位在线维护服务</w:t>
                  </w:r>
                </w:p>
              </w:tc>
              <w:tc>
                <w:tcPr>
                  <w:tcW w:type="dxa" w:w="1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点位在线维护服务。</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rPr>
                    <w:t>点</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60</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36</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1、产品运抵采购人所在地现场后，采购人与供货商共同验收，验收结果双方认可。 2、必须保证投标商品的完整性，能满足全部功能的使用。 3、提供的产品（技术指标除另作规定外）均应符合行业相关标准。必须对供货的的商品进行检验。由采购人组织验收，并出具验收结果和意见，供货商负责向验收组提交验收所需文件和相关资料（如检测报告等）。 4、产品的包装应为生产厂商出产时的原包装，包装箱内必须附有详细的装箱清单。所有设备均需符合国家质量标准，必须符合环保标准及相关标准，通过国家质量相关检验合格。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项目经采购人履约验收合格后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2、本合同履行期间，如乙方未能按照本合同约定完成相应目标成效要求，甲方有权视乙方违约情况决定是否单方解除本合同，并要求乙方赔偿甲方损失。 3、除本合同另有约定或因不可抗力情形之外，任何一方因违反本合同项下的任何义务或保证与承诺不实的，即构成违约，应向对方承担违约责任，赔偿因违反合同而给对方造成的全部实际产生的直接经济损失。 4、违约终止合同：未按合同要求提供货物或质量不能满足技术要求，甲方会同监督机构有权终止合同，对乙方违约行为进行追究，同时按政府采购法的有关规定进行相应的处罚。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完整的财务报告（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时间前一年内任意1个月的社会保障资金缴纳凭证或证明，依法不需要缴纳社会保障资金的单位应提供相关证明材料；截止开标时成立时间不足一年的供应商提供实际交费凭证并出具相关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提供磋商响应文件递交截止时间前一年内任意1个月的纳税证明或完税证明，依法免税的单位应提供相证明材料；截止开标时成立时间不足一年的供应商提供实际交税凭证并出具相关声明函。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供应商应具备良好的商业信誉，提供参加政府采购活动前3年内在经营活动中没有重大违法记录的书面声明（原件加盖供应商公章）。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具备履行合同所必需的设备和专业技术能力的证明材料(由供应商根据项目需求提供证明材料或者承诺)。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本项目不接受联合体磋商，提供非联合体磋商声明。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供应商类似项目业绩一览表.docx 商务应答表 政府采购保密承诺.docx 供应商应提交的相关资格证明材料 标的清单 报价表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商务应答表 政府采购保密承诺.docx 供应商应提交的相关资格证明材料 标的清单 报价表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供应商提供的货物（服务）符合采购需求要求，无重大偏差，无实质性遗漏</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磋商报价未超出采购预算或最高限价，供应商磋商报价未出现选择性报价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保密承诺</w:t>
            </w:r>
          </w:p>
        </w:tc>
        <w:tc>
          <w:tcPr>
            <w:tcW w:type="dxa" w:w="3322"/>
          </w:tcPr>
          <w:p>
            <w:pPr>
              <w:pStyle w:val="null3"/>
            </w:pPr>
            <w:r>
              <w:rPr>
                <w:rFonts w:ascii="仿宋_GB2312" w:hAnsi="仿宋_GB2312" w:cs="仿宋_GB2312" w:eastAsia="仿宋_GB2312"/>
              </w:rPr>
              <w:t>签署保密承诺书</w:t>
            </w:r>
          </w:p>
        </w:tc>
        <w:tc>
          <w:tcPr>
            <w:tcW w:type="dxa" w:w="1661"/>
          </w:tcPr>
          <w:p>
            <w:pPr>
              <w:pStyle w:val="null3"/>
            </w:pPr>
            <w:r>
              <w:rPr>
                <w:rFonts w:ascii="仿宋_GB2312" w:hAnsi="仿宋_GB2312" w:cs="仿宋_GB2312" w:eastAsia="仿宋_GB2312"/>
              </w:rPr>
              <w:t>政府采购保密承诺.docx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1、投标方案中总体体系架构、关键技术应用科学合理，满足项目实际情况。 2、投标方案应在充分考虑现状基础上，分析并利用现有政府资源、社会资源，完成相应视频监控点位、视频平台及运行维护配套的相关功能。 3、整体技术服务方案符合招标文件的要求，设计合理、结构完整、表述准确、条理清晰，充分考虑用户实际现状与使用需求。 按响应程度赋分，方案完整、架构合理、功能齐全、项目需求贴合度高计（15-20]分；方案存在部分不足、架构合理性一般、功能较齐全、项目需求贴合度一般计（8-14]分；方案不完整、架构合理性差、功能不足、项目需求贴合度差计（1-7]分。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前端监控点位产品方案</w:t>
            </w:r>
          </w:p>
        </w:tc>
        <w:tc>
          <w:tcPr>
            <w:tcW w:type="dxa" w:w="2492"/>
          </w:tcPr>
          <w:p>
            <w:pPr>
              <w:pStyle w:val="null3"/>
            </w:pPr>
            <w:r>
              <w:rPr>
                <w:rFonts w:ascii="仿宋_GB2312" w:hAnsi="仿宋_GB2312" w:cs="仿宋_GB2312" w:eastAsia="仿宋_GB2312"/>
              </w:rPr>
              <w:t>投标产品数量准确，技术参数清楚、明确，规格、功能一致，各类服务设备选型原则为成熟且稳定的国产产品，投标人须参照技术服务清单中各产品的技术参数项逐项应答。按项目技术要求响应程度进行打分， 方案的内容完整，设计合理，描述详细准确，具有可扩展性，能充分满足项目需求，计（15-20]分；方案完整，基本满足项目需求，计（8-14]分；方案内容简单，不完整，计（1-7]分。未提供不计分。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中心侧视频平台汇聚方案</w:t>
            </w:r>
          </w:p>
        </w:tc>
        <w:tc>
          <w:tcPr>
            <w:tcW w:type="dxa" w:w="2492"/>
          </w:tcPr>
          <w:p>
            <w:pPr>
              <w:pStyle w:val="null3"/>
            </w:pPr>
            <w:r>
              <w:rPr>
                <w:rFonts w:ascii="仿宋_GB2312" w:hAnsi="仿宋_GB2312" w:cs="仿宋_GB2312" w:eastAsia="仿宋_GB2312"/>
              </w:rPr>
              <w:t>视频平台基础功能及汇聚服务，包含画面的采、传、存、显、听、控等基础功能开通接入、汇聚与管理。根据层级关系，不同级别得账号获取不同监控权限。支持PC端登录和多个移动端同时登录。 按响应程度赋分，方案的内容完整，设计合理，描述详细准确，具有可扩展性，能充分满足项目需求，计（15-20]分；方案完整，基本满足项目需求，计（8-14]分；方案内容简单，不完整，计（1-7]分。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实施及维护服务方案</w:t>
            </w:r>
          </w:p>
        </w:tc>
        <w:tc>
          <w:tcPr>
            <w:tcW w:type="dxa" w:w="2492"/>
          </w:tcPr>
          <w:p>
            <w:pPr>
              <w:pStyle w:val="null3"/>
            </w:pPr>
            <w:r>
              <w:rPr>
                <w:rFonts w:ascii="仿宋_GB2312" w:hAnsi="仿宋_GB2312" w:cs="仿宋_GB2312" w:eastAsia="仿宋_GB2312"/>
              </w:rPr>
              <w:t>参选人应根据本项目实际情况编制项目计划实施方案。合理按需设计和新增摄像头点位位置，完成各视频监控点位的施工安装，实现实时监控、安全防控、应急处置功能。一旦发生自然灾害和突发事件时，能够及时通过摄像头回溯现场、指挥调度。实施方案至少应包含满足本项目实际的设计思路、软件工具、实施组织与人员配备分工情况、安装、调试、培训、验收等服务内容。 按响应程度赋分，方案的内容完整，设计合理，描述详细准确，具有可扩展性，能充分满足项目需求，计（15-20]分；方案完整，基本满足项目需求，计（8-14]分；方案内容简单，不完整，计（1-7]分。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提供2022年1月1日至磋商响应文件递交截止日的类似项目业绩（以中标通知书或合同为准，提供合同的以合同签订时间为准），每份计2分，满分10分，未提供不计分。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 磋商报价得分=（磋商基准价/最后磋商报价）×10，计算结果保留两位小数。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详见附件：政府采购保密承诺.docx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