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版本号：GRHZDW招标字FW202508-0001.1B220250901001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蓝田县纪委监委“监务通”移动办公系统项目(三次)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GRHZDW招标字FW202508-0001.1B2</w:t>
      </w:r>
      <w:r>
        <w:br/>
      </w:r>
      <w:r>
        <w:br/>
      </w:r>
      <w:r>
        <w:br/>
      </w:r>
    </w:p>
    <w:p>
      <w:pPr>
        <w:pStyle w:val="null3"/>
        <w:jc w:val="center"/>
        <w:outlineLvl w:val="2"/>
      </w:pPr>
      <w:r>
        <w:rPr>
          <w:rFonts w:ascii="仿宋_GB2312" w:hAnsi="仿宋_GB2312" w:cs="仿宋_GB2312" w:eastAsia="仿宋_GB2312"/>
          <w:sz w:val="28"/>
          <w:b/>
        </w:rPr>
        <w:t>西安市蓝田县纪律检查委员会（本级）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西安市蓝田县纪律检查委员会（本级）</w:t>
      </w:r>
      <w:r>
        <w:rPr>
          <w:rFonts w:ascii="仿宋_GB2312" w:hAnsi="仿宋_GB2312" w:cs="仿宋_GB2312" w:eastAsia="仿宋_GB2312"/>
        </w:rPr>
        <w:t>委托，拟对</w:t>
      </w:r>
      <w:r>
        <w:rPr>
          <w:rFonts w:ascii="仿宋_GB2312" w:hAnsi="仿宋_GB2312" w:cs="仿宋_GB2312" w:eastAsia="仿宋_GB2312"/>
        </w:rPr>
        <w:t>蓝田县纪委监委“监务通”移动办公系统项目(三次)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GRHZDW招标字FW202508-0001.1B2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蓝田县纪委监委“监务通”移动办公系统项目(三次)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依托终端接入市纪委统一搭建的“监务通”平台，实现安全通信、移动办公、信息查询等综合业务应用，为纪检监察干部提高工作效率、减少工作强度提供有力保障。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供应商须提供2024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p>
      <w:pPr>
        <w:pStyle w:val="null3"/>
      </w:pPr>
      <w:r>
        <w:rPr>
          <w:rFonts w:ascii="仿宋_GB2312" w:hAnsi="仿宋_GB2312" w:cs="仿宋_GB2312" w:eastAsia="仿宋_GB2312"/>
        </w:rPr>
        <w:t>3、税收缴纳证明：提供投标截止时间前一年内已缴纳的至少一个月纳税证明或完税证明，依法免税的单位应提供相关证明材料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4、社保缴纳证明：提供投标截止时间前一年内已缴存的至少一个月的社会保障资金缴存单据或社保机构开具的社会保险参保缴费情况证明，依法不需要缴纳社会保障资金的单位应提供相关证明材料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5、书面声明：提供参加本次政府采购活动前三年内在经营活动中没有重大违法记录的书面声明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7、信用信息：供应商未被列入信用中国网站(www.creditchina.gov.cn)“失信被执行人、重大税收违法案件当事人名单”；不处于中国政府采购(www.ccgp.gov.cn) “政府采购严重违法失信行为信息记录”中的禁止参加政府采购活动期间</w:t>
      </w:r>
    </w:p>
    <w:p>
      <w:pPr>
        <w:pStyle w:val="null3"/>
      </w:pPr>
      <w:r>
        <w:rPr>
          <w:rFonts w:ascii="仿宋_GB2312" w:hAnsi="仿宋_GB2312" w:cs="仿宋_GB2312" w:eastAsia="仿宋_GB2312"/>
        </w:rPr>
        <w:t>8、法定代表人授权书：法定代表人授权书（附法定代表人、被授权人身份证复印件）及被授权人身份证（法定代表人参加投标只需提供本人身份证）；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9、控股管理关系：单位负责人为同一人或者存在直接控股、管理关系的不同单位，不得参加同一项下的政府采购活动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西安市蓝田县纪律检查委员会（本级）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蓝田县县门街32号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18092151869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陕西省西安市高新区高新六路21号CROSS万象汇6幢1单元7层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15129028932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采购包1：1,272,639.50元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代理服务费收费标准：按国家计委计价格[2002]1980号及发改办价格[2003]857号文规定的收费标准收取，不足8000元按8000元收取，由中标单位在领取中标通知书前一次性支付。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西安市蓝田县纪律检查委员会（本级）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西安市蓝田县纪律检查委员会（本级）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西安市蓝田县纪律检查委员会（本级）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达到国家和行业相关规范、标准及采购人考核要求；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联系人：梁思源</w:t>
      </w:r>
    </w:p>
    <w:p>
      <w:pPr>
        <w:pStyle w:val="null3"/>
      </w:pPr>
      <w:r>
        <w:rPr>
          <w:rFonts w:ascii="仿宋_GB2312" w:hAnsi="仿宋_GB2312" w:cs="仿宋_GB2312" w:eastAsia="仿宋_GB2312"/>
        </w:rPr>
        <w:t>联系电话：15129028932</w:t>
      </w:r>
    </w:p>
    <w:p>
      <w:pPr>
        <w:pStyle w:val="null3"/>
      </w:pPr>
      <w:r>
        <w:rPr>
          <w:rFonts w:ascii="仿宋_GB2312" w:hAnsi="仿宋_GB2312" w:cs="仿宋_GB2312" w:eastAsia="仿宋_GB2312"/>
        </w:rPr>
        <w:t>地址：陕西省西安市高新区高新六路21号CROSS万象汇6幢1单元7层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蓝田县纪委监委“监务通”移动办公系统项目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1,272,639.50</w:t>
      </w:r>
    </w:p>
    <w:p>
      <w:pPr>
        <w:pStyle w:val="null3"/>
      </w:pPr>
      <w:r>
        <w:rPr>
          <w:rFonts w:ascii="仿宋_GB2312" w:hAnsi="仿宋_GB2312" w:cs="仿宋_GB2312" w:eastAsia="仿宋_GB2312"/>
        </w:rPr>
        <w:t>采购包最高限价（元）: 1,272,639.50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蓝田县纪委监委“监务通”移动办公系统项目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1,272,639.50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标的名称：蓝田县纪委监委“监务通”移动办公系统项目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一、服务内容</w:t>
            </w:r>
          </w:p>
          <w:p>
            <w:pPr>
              <w:pStyle w:val="null3"/>
            </w:pPr>
            <w:r>
              <w:rPr>
                <w:rFonts w:ascii="仿宋_GB2312" w:hAnsi="仿宋_GB2312" w:cs="仿宋_GB2312" w:eastAsia="仿宋_GB2312"/>
                <w:sz w:val="28"/>
                <w:color w:val="000000"/>
              </w:rPr>
              <w:t>依托终端接入市纪委统一搭建的“监务通</w:t>
            </w:r>
            <w:r>
              <w:rPr>
                <w:rFonts w:ascii="仿宋_GB2312" w:hAnsi="仿宋_GB2312" w:cs="仿宋_GB2312" w:eastAsia="仿宋_GB2312"/>
                <w:sz w:val="28"/>
                <w:color w:val="000000"/>
              </w:rPr>
              <w:t>”平台，实现安全通信、</w:t>
            </w:r>
            <w:r>
              <w:rPr>
                <w:rFonts w:ascii="仿宋_GB2312" w:hAnsi="仿宋_GB2312" w:cs="仿宋_GB2312" w:eastAsia="仿宋_GB2312"/>
                <w:sz w:val="28"/>
                <w:color w:val="000000"/>
              </w:rPr>
              <w:t>移动办公、信息查询等综合业务应用，为纪检监察干部提高工作效率、</w:t>
            </w:r>
            <w:r>
              <w:rPr>
                <w:rFonts w:ascii="仿宋_GB2312" w:hAnsi="仿宋_GB2312" w:cs="仿宋_GB2312" w:eastAsia="仿宋_GB2312"/>
                <w:sz w:val="28"/>
                <w:color w:val="000000"/>
              </w:rPr>
              <w:t>减少工作强度提供有力保障。</w:t>
            </w:r>
          </w:p>
          <w:p>
            <w:pPr>
              <w:pStyle w:val="null3"/>
              <w:ind w:left="600"/>
              <w:jc w:val="left"/>
            </w:pPr>
            <w:r>
              <w:rPr>
                <w:rFonts w:ascii="仿宋_GB2312" w:hAnsi="仿宋_GB2312" w:cs="仿宋_GB2312" w:eastAsia="仿宋_GB2312"/>
                <w:sz w:val="28"/>
                <w:color w:val="000000"/>
              </w:rPr>
              <w:t>1.接入市纪委监委平台服务</w:t>
            </w:r>
          </w:p>
          <w:p>
            <w:pPr>
              <w:pStyle w:val="null3"/>
              <w:spacing w:before="180"/>
              <w:ind w:left="30" w:firstLine="595"/>
              <w:jc w:val="left"/>
            </w:pPr>
            <w:r>
              <w:rPr>
                <w:rFonts w:ascii="仿宋_GB2312" w:hAnsi="仿宋_GB2312" w:cs="仿宋_GB2312" w:eastAsia="仿宋_GB2312"/>
                <w:sz w:val="28"/>
                <w:color w:val="000000"/>
              </w:rPr>
              <w:t>中共蓝田县纪委监委“监务通</w:t>
            </w:r>
            <w:r>
              <w:rPr>
                <w:rFonts w:ascii="仿宋_GB2312" w:hAnsi="仿宋_GB2312" w:cs="仿宋_GB2312" w:eastAsia="仿宋_GB2312"/>
                <w:sz w:val="28"/>
                <w:color w:val="000000"/>
              </w:rPr>
              <w:t>”需接入到西安市纪委“监务通</w:t>
            </w:r>
            <w:r>
              <w:rPr>
                <w:rFonts w:ascii="仿宋_GB2312" w:hAnsi="仿宋_GB2312" w:cs="仿宋_GB2312" w:eastAsia="仿宋_GB2312"/>
                <w:sz w:val="28"/>
                <w:color w:val="000000"/>
              </w:rPr>
              <w:t>”</w:t>
            </w:r>
            <w:r>
              <w:rPr>
                <w:rFonts w:ascii="仿宋_GB2312" w:hAnsi="仿宋_GB2312" w:cs="仿宋_GB2312" w:eastAsia="仿宋_GB2312"/>
                <w:sz w:val="28"/>
                <w:color w:val="000000"/>
              </w:rPr>
              <w:t>平台，实现：</w:t>
            </w:r>
          </w:p>
          <w:p>
            <w:pPr>
              <w:pStyle w:val="null3"/>
              <w:ind w:left="600"/>
              <w:jc w:val="left"/>
            </w:pPr>
            <w:r>
              <w:rPr>
                <w:rFonts w:ascii="仿宋_GB2312" w:hAnsi="仿宋_GB2312" w:cs="仿宋_GB2312" w:eastAsia="仿宋_GB2312"/>
                <w:sz w:val="28"/>
                <w:color w:val="000000"/>
              </w:rPr>
              <w:t>1）安全接入、身份认证等安全防护措施；</w:t>
            </w:r>
          </w:p>
          <w:p>
            <w:pPr>
              <w:pStyle w:val="null3"/>
              <w:spacing w:before="180"/>
              <w:ind w:left="45" w:right="285" w:firstLine="543"/>
              <w:jc w:val="left"/>
            </w:pPr>
            <w:r>
              <w:rPr>
                <w:rFonts w:ascii="仿宋_GB2312" w:hAnsi="仿宋_GB2312" w:cs="仿宋_GB2312" w:eastAsia="仿宋_GB2312"/>
                <w:sz w:val="28"/>
                <w:color w:val="000000"/>
              </w:rPr>
              <w:t>2）提供高性能、高可靠、可扩展的移动接入及网络访问通道，</w:t>
            </w:r>
            <w:r>
              <w:rPr>
                <w:rFonts w:ascii="仿宋_GB2312" w:hAnsi="仿宋_GB2312" w:cs="仿宋_GB2312" w:eastAsia="仿宋_GB2312"/>
                <w:sz w:val="28"/>
                <w:color w:val="000000"/>
              </w:rPr>
              <w:t>为移动应用提供全面的安全保障；</w:t>
            </w:r>
          </w:p>
          <w:p>
            <w:pPr>
              <w:pStyle w:val="null3"/>
              <w:spacing w:before="180"/>
              <w:ind w:left="45" w:right="240" w:firstLine="541"/>
              <w:jc w:val="left"/>
            </w:pPr>
            <w:r>
              <w:rPr>
                <w:rFonts w:ascii="仿宋_GB2312" w:hAnsi="仿宋_GB2312" w:cs="仿宋_GB2312" w:eastAsia="仿宋_GB2312"/>
                <w:sz w:val="28"/>
                <w:color w:val="000000"/>
              </w:rPr>
              <w:t>3）构建纪检监察工作外网、移动互联网等网络进行数据交换和</w:t>
            </w:r>
            <w:r>
              <w:rPr>
                <w:rFonts w:ascii="仿宋_GB2312" w:hAnsi="仿宋_GB2312" w:cs="仿宋_GB2312" w:eastAsia="仿宋_GB2312"/>
                <w:sz w:val="28"/>
                <w:color w:val="000000"/>
              </w:rPr>
              <w:t>资源共享的通道；</w:t>
            </w:r>
          </w:p>
          <w:p>
            <w:pPr>
              <w:pStyle w:val="null3"/>
              <w:spacing w:before="180"/>
              <w:ind w:left="585"/>
              <w:jc w:val="left"/>
            </w:pPr>
            <w:r>
              <w:rPr>
                <w:rFonts w:ascii="仿宋_GB2312" w:hAnsi="仿宋_GB2312" w:cs="仿宋_GB2312" w:eastAsia="仿宋_GB2312"/>
                <w:sz w:val="28"/>
                <w:color w:val="000000"/>
              </w:rPr>
              <w:t>4）采用</w:t>
            </w:r>
            <w:r>
              <w:rPr>
                <w:rFonts w:ascii="仿宋_GB2312" w:hAnsi="仿宋_GB2312" w:cs="仿宋_GB2312" w:eastAsia="仿宋_GB2312"/>
                <w:sz w:val="28"/>
                <w:color w:val="000000"/>
              </w:rPr>
              <w:t>SSL VPN</w:t>
            </w:r>
            <w:r>
              <w:rPr>
                <w:rFonts w:ascii="仿宋_GB2312" w:hAnsi="仿宋_GB2312" w:cs="仿宋_GB2312" w:eastAsia="仿宋_GB2312"/>
                <w:sz w:val="28"/>
                <w:color w:val="000000"/>
              </w:rPr>
              <w:t>技术，实现安全接入和应用；</w:t>
            </w:r>
          </w:p>
          <w:p>
            <w:pPr>
              <w:pStyle w:val="null3"/>
              <w:spacing w:before="180"/>
              <w:ind w:left="585"/>
              <w:jc w:val="left"/>
            </w:pPr>
            <w:r>
              <w:rPr>
                <w:rFonts w:ascii="仿宋_GB2312" w:hAnsi="仿宋_GB2312" w:cs="仿宋_GB2312" w:eastAsia="仿宋_GB2312"/>
                <w:sz w:val="28"/>
                <w:color w:val="000000"/>
              </w:rPr>
              <w:t>5）支撑</w:t>
            </w:r>
            <w:r>
              <w:rPr>
                <w:rFonts w:ascii="仿宋_GB2312" w:hAnsi="仿宋_GB2312" w:cs="仿宋_GB2312" w:eastAsia="仿宋_GB2312"/>
                <w:sz w:val="28"/>
                <w:color w:val="000000"/>
              </w:rPr>
              <w:t>IP</w:t>
            </w:r>
            <w:r>
              <w:rPr>
                <w:rFonts w:ascii="仿宋_GB2312" w:hAnsi="仿宋_GB2312" w:cs="仿宋_GB2312" w:eastAsia="仿宋_GB2312"/>
                <w:sz w:val="28"/>
                <w:color w:val="000000"/>
              </w:rPr>
              <w:t>协议，传输层支持</w:t>
            </w:r>
            <w:r>
              <w:rPr>
                <w:rFonts w:ascii="仿宋_GB2312" w:hAnsi="仿宋_GB2312" w:cs="仿宋_GB2312" w:eastAsia="仿宋_GB2312"/>
                <w:sz w:val="28"/>
                <w:color w:val="000000"/>
              </w:rPr>
              <w:t>TCP</w:t>
            </w:r>
            <w:r>
              <w:rPr>
                <w:rFonts w:ascii="仿宋_GB2312" w:hAnsi="仿宋_GB2312" w:cs="仿宋_GB2312" w:eastAsia="仿宋_GB2312"/>
                <w:sz w:val="28"/>
                <w:color w:val="000000"/>
              </w:rPr>
              <w:t>和UDP</w:t>
            </w:r>
            <w:r>
              <w:rPr>
                <w:rFonts w:ascii="仿宋_GB2312" w:hAnsi="仿宋_GB2312" w:cs="仿宋_GB2312" w:eastAsia="仿宋_GB2312"/>
                <w:sz w:val="28"/>
                <w:color w:val="000000"/>
              </w:rPr>
              <w:t>协</w:t>
            </w:r>
            <w:r>
              <w:rPr>
                <w:rFonts w:ascii="仿宋_GB2312" w:hAnsi="仿宋_GB2312" w:cs="仿宋_GB2312" w:eastAsia="仿宋_GB2312"/>
                <w:sz w:val="28"/>
                <w:color w:val="000000"/>
              </w:rPr>
              <w:t>议；</w:t>
            </w:r>
          </w:p>
          <w:p>
            <w:pPr>
              <w:pStyle w:val="null3"/>
              <w:spacing w:before="180"/>
              <w:ind w:left="585"/>
              <w:jc w:val="left"/>
            </w:pPr>
            <w:r>
              <w:rPr>
                <w:rFonts w:ascii="仿宋_GB2312" w:hAnsi="仿宋_GB2312" w:cs="仿宋_GB2312" w:eastAsia="仿宋_GB2312"/>
                <w:sz w:val="28"/>
                <w:color w:val="000000"/>
              </w:rPr>
              <w:t>2．接入市纪委监委安全通信平台服务</w:t>
            </w:r>
          </w:p>
          <w:p>
            <w:pPr>
              <w:pStyle w:val="null3"/>
              <w:spacing w:before="180"/>
              <w:ind w:left="45" w:right="240" w:firstLine="556"/>
              <w:jc w:val="left"/>
            </w:pPr>
            <w:r>
              <w:rPr>
                <w:rFonts w:ascii="仿宋_GB2312" w:hAnsi="仿宋_GB2312" w:cs="仿宋_GB2312" w:eastAsia="仿宋_GB2312"/>
                <w:sz w:val="28"/>
                <w:color w:val="000000"/>
              </w:rPr>
              <w:t>西安市纪委监委已完成平台的搭建，中共蓝田县纪委监</w:t>
            </w:r>
            <w:r>
              <w:rPr>
                <w:rFonts w:ascii="仿宋_GB2312" w:hAnsi="仿宋_GB2312" w:cs="仿宋_GB2312" w:eastAsia="仿宋_GB2312"/>
                <w:sz w:val="28"/>
                <w:color w:val="000000"/>
              </w:rPr>
              <w:t>委“监务</w:t>
            </w:r>
            <w:r>
              <w:rPr>
                <w:rFonts w:ascii="仿宋_GB2312" w:hAnsi="仿宋_GB2312" w:cs="仿宋_GB2312" w:eastAsia="仿宋_GB2312"/>
                <w:sz w:val="28"/>
                <w:color w:val="000000"/>
              </w:rPr>
              <w:t>通</w:t>
            </w:r>
            <w:r>
              <w:rPr>
                <w:rFonts w:ascii="仿宋_GB2312" w:hAnsi="仿宋_GB2312" w:cs="仿宋_GB2312" w:eastAsia="仿宋_GB2312"/>
                <w:sz w:val="28"/>
                <w:color w:val="000000"/>
              </w:rPr>
              <w:t>”需进行接入，实现加密即时通信、加密电话等终端安</w:t>
            </w:r>
            <w:r>
              <w:rPr>
                <w:rFonts w:ascii="仿宋_GB2312" w:hAnsi="仿宋_GB2312" w:cs="仿宋_GB2312" w:eastAsia="仿宋_GB2312"/>
                <w:sz w:val="28"/>
                <w:color w:val="000000"/>
              </w:rPr>
              <w:t>全服务。</w:t>
            </w:r>
          </w:p>
          <w:p>
            <w:pPr>
              <w:pStyle w:val="null3"/>
              <w:ind w:left="585"/>
              <w:jc w:val="left"/>
            </w:pPr>
            <w:r>
              <w:rPr>
                <w:rFonts w:ascii="仿宋_GB2312" w:hAnsi="仿宋_GB2312" w:cs="仿宋_GB2312" w:eastAsia="仿宋_GB2312"/>
                <w:sz w:val="28"/>
                <w:color w:val="000000"/>
              </w:rPr>
              <w:t>3．接入终端管理系统</w:t>
            </w:r>
          </w:p>
          <w:p>
            <w:pPr>
              <w:pStyle w:val="null3"/>
              <w:spacing w:before="180"/>
              <w:ind w:left="30" w:right="240" w:firstLine="594"/>
              <w:jc w:val="left"/>
            </w:pPr>
            <w:r>
              <w:rPr>
                <w:rFonts w:ascii="仿宋_GB2312" w:hAnsi="仿宋_GB2312" w:cs="仿宋_GB2312" w:eastAsia="仿宋_GB2312"/>
                <w:sz w:val="28"/>
                <w:color w:val="000000"/>
              </w:rPr>
              <w:t>中共蓝田县纪委监委“监务通</w:t>
            </w:r>
            <w:r>
              <w:rPr>
                <w:rFonts w:ascii="仿宋_GB2312" w:hAnsi="仿宋_GB2312" w:cs="仿宋_GB2312" w:eastAsia="仿宋_GB2312"/>
                <w:sz w:val="28"/>
                <w:color w:val="000000"/>
              </w:rPr>
              <w:t>”接入市纪委终端管理系统，保障</w:t>
            </w:r>
            <w:r>
              <w:rPr>
                <w:rFonts w:ascii="仿宋_GB2312" w:hAnsi="仿宋_GB2312" w:cs="仿宋_GB2312" w:eastAsia="仿宋_GB2312"/>
                <w:sz w:val="28"/>
                <w:color w:val="000000"/>
              </w:rPr>
              <w:t>终端的安全合规运行，构建安全可控终端管理体系。</w:t>
            </w:r>
          </w:p>
          <w:p>
            <w:pPr>
              <w:pStyle w:val="null3"/>
              <w:ind w:left="585"/>
              <w:jc w:val="left"/>
            </w:pPr>
            <w:r>
              <w:rPr>
                <w:rFonts w:ascii="仿宋_GB2312" w:hAnsi="仿宋_GB2312" w:cs="仿宋_GB2312" w:eastAsia="仿宋_GB2312"/>
                <w:sz w:val="28"/>
                <w:color w:val="000000"/>
              </w:rPr>
              <w:t>4.加密通信及支撑服务</w:t>
            </w:r>
          </w:p>
          <w:p>
            <w:pPr>
              <w:pStyle w:val="null3"/>
              <w:spacing w:before="180"/>
              <w:ind w:left="45" w:right="240" w:firstLine="549"/>
              <w:jc w:val="left"/>
            </w:pPr>
            <w:r>
              <w:rPr>
                <w:rFonts w:ascii="仿宋_GB2312" w:hAnsi="仿宋_GB2312" w:cs="仿宋_GB2312" w:eastAsia="仿宋_GB2312"/>
                <w:sz w:val="28"/>
                <w:color w:val="000000"/>
              </w:rPr>
              <w:t>加密通信及支撑服务需提供从硬件到软件，从底层到应用，从端</w:t>
            </w:r>
            <w:r>
              <w:rPr>
                <w:rFonts w:ascii="仿宋_GB2312" w:hAnsi="仿宋_GB2312" w:cs="仿宋_GB2312" w:eastAsia="仿宋_GB2312"/>
                <w:sz w:val="28"/>
                <w:color w:val="000000"/>
              </w:rPr>
              <w:t>到云的闭环安全体系，实现防刷机、防泄密、防破解的安全目标</w:t>
            </w:r>
            <w:r>
              <w:rPr>
                <w:rFonts w:ascii="仿宋_GB2312" w:hAnsi="仿宋_GB2312" w:cs="仿宋_GB2312" w:eastAsia="仿宋_GB2312"/>
                <w:sz w:val="28"/>
                <w:color w:val="000000"/>
              </w:rPr>
              <w:t>，满</w:t>
            </w:r>
            <w:r>
              <w:rPr>
                <w:rFonts w:ascii="仿宋_GB2312" w:hAnsi="仿宋_GB2312" w:cs="仿宋_GB2312" w:eastAsia="仿宋_GB2312"/>
                <w:sz w:val="28"/>
                <w:color w:val="000000"/>
              </w:rPr>
              <w:t>足中共蓝田县纪委监委对于安全移动办公办案的场景需求。</w:t>
            </w:r>
          </w:p>
          <w:p>
            <w:pPr>
              <w:pStyle w:val="null3"/>
              <w:spacing w:before="180"/>
              <w:ind w:left="585"/>
              <w:jc w:val="left"/>
            </w:pPr>
            <w:r>
              <w:rPr>
                <w:rFonts w:ascii="仿宋_GB2312" w:hAnsi="仿宋_GB2312" w:cs="仿宋_GB2312" w:eastAsia="仿宋_GB2312"/>
                <w:sz w:val="28"/>
                <w:color w:val="000000"/>
              </w:rPr>
              <w:t>5．接入监务通门户服务</w:t>
            </w:r>
          </w:p>
          <w:p>
            <w:pPr>
              <w:pStyle w:val="null3"/>
              <w:spacing w:before="180"/>
              <w:ind w:left="585"/>
              <w:jc w:val="left"/>
            </w:pPr>
            <w:r>
              <w:rPr>
                <w:rFonts w:ascii="仿宋_GB2312" w:hAnsi="仿宋_GB2312" w:cs="仿宋_GB2312" w:eastAsia="仿宋_GB2312"/>
                <w:sz w:val="28"/>
                <w:color w:val="000000"/>
              </w:rPr>
              <w:t>接入市纪委移动监务通门户，实现：</w:t>
            </w:r>
          </w:p>
          <w:p>
            <w:pPr>
              <w:pStyle w:val="null3"/>
              <w:spacing w:before="180"/>
              <w:ind w:left="45" w:right="30" w:firstLine="555"/>
              <w:jc w:val="left"/>
            </w:pPr>
            <w:r>
              <w:rPr>
                <w:rFonts w:ascii="仿宋_GB2312" w:hAnsi="仿宋_GB2312" w:cs="仿宋_GB2312" w:eastAsia="仿宋_GB2312"/>
                <w:sz w:val="28"/>
                <w:color w:val="000000"/>
              </w:rPr>
              <w:t>1）能够制定接入规范说明，提供规范接</w:t>
            </w:r>
            <w:r>
              <w:rPr>
                <w:rFonts w:ascii="仿宋_GB2312" w:hAnsi="仿宋_GB2312" w:cs="仿宋_GB2312" w:eastAsia="仿宋_GB2312"/>
                <w:sz w:val="28"/>
                <w:color w:val="000000"/>
              </w:rPr>
              <w:t>口，保证各系统按照规</w:t>
            </w:r>
            <w:r>
              <w:rPr>
                <w:rFonts w:ascii="仿宋_GB2312" w:hAnsi="仿宋_GB2312" w:cs="仿宋_GB2312" w:eastAsia="仿宋_GB2312"/>
                <w:sz w:val="28"/>
                <w:color w:val="000000"/>
              </w:rPr>
              <w:t>范可进行接入，实现门户系统对各接入系统的统一管理；</w:t>
            </w:r>
          </w:p>
          <w:p>
            <w:pPr>
              <w:pStyle w:val="null3"/>
              <w:spacing w:before="180"/>
              <w:ind w:left="30" w:firstLine="549"/>
              <w:jc w:val="left"/>
            </w:pPr>
            <w:r>
              <w:rPr>
                <w:rFonts w:ascii="仿宋_GB2312" w:hAnsi="仿宋_GB2312" w:cs="仿宋_GB2312" w:eastAsia="仿宋_GB2312"/>
                <w:sz w:val="28"/>
                <w:color w:val="000000"/>
              </w:rPr>
              <w:t>2）登录采用系统认证方式，能保证接入移动服务门户后，通过</w:t>
            </w:r>
            <w:r>
              <w:rPr>
                <w:rFonts w:ascii="仿宋_GB2312" w:hAnsi="仿宋_GB2312" w:cs="仿宋_GB2312" w:eastAsia="仿宋_GB2312"/>
                <w:sz w:val="28"/>
                <w:color w:val="000000"/>
              </w:rPr>
              <w:t>配置能够实现各系统之间用户信息的公用、授权。保证仅在移动服务</w:t>
            </w:r>
            <w:r>
              <w:rPr>
                <w:rFonts w:ascii="仿宋_GB2312" w:hAnsi="仿宋_GB2312" w:cs="仿宋_GB2312" w:eastAsia="仿宋_GB2312"/>
                <w:sz w:val="28"/>
                <w:color w:val="000000"/>
              </w:rPr>
              <w:t>门户进行一次登录后即可完成本次访问对所有系统的登录认证操作，</w:t>
            </w:r>
            <w:r>
              <w:rPr>
                <w:rFonts w:ascii="仿宋_GB2312" w:hAnsi="仿宋_GB2312" w:cs="仿宋_GB2312" w:eastAsia="仿宋_GB2312"/>
                <w:sz w:val="28"/>
                <w:color w:val="000000"/>
              </w:rPr>
              <w:t>实现在各系统间的无缝转接。</w:t>
            </w:r>
          </w:p>
          <w:p>
            <w:pPr>
              <w:pStyle w:val="null3"/>
              <w:spacing w:before="180"/>
              <w:ind w:left="585"/>
              <w:jc w:val="left"/>
            </w:pPr>
            <w:r>
              <w:rPr>
                <w:rFonts w:ascii="仿宋_GB2312" w:hAnsi="仿宋_GB2312" w:cs="仿宋_GB2312" w:eastAsia="仿宋_GB2312"/>
                <w:sz w:val="28"/>
                <w:color w:val="000000"/>
              </w:rPr>
              <w:t>6. 应用系统服务</w:t>
            </w:r>
          </w:p>
          <w:p>
            <w:pPr>
              <w:pStyle w:val="null3"/>
              <w:spacing w:before="180"/>
              <w:ind w:left="30" w:right="30" w:firstLine="561"/>
              <w:jc w:val="left"/>
            </w:pPr>
            <w:r>
              <w:rPr>
                <w:rFonts w:ascii="仿宋_GB2312" w:hAnsi="仿宋_GB2312" w:cs="仿宋_GB2312" w:eastAsia="仿宋_GB2312"/>
                <w:sz w:val="28"/>
                <w:color w:val="000000"/>
              </w:rPr>
              <w:t>工商大数据查询系统，实现对工商企业数据的一</w:t>
            </w:r>
            <w:r>
              <w:rPr>
                <w:rFonts w:ascii="仿宋_GB2312" w:hAnsi="仿宋_GB2312" w:cs="仿宋_GB2312" w:eastAsia="仿宋_GB2312"/>
                <w:sz w:val="28"/>
                <w:color w:val="000000"/>
              </w:rPr>
              <w:t>键查询，为办案</w:t>
            </w:r>
            <w:r>
              <w:rPr>
                <w:rFonts w:ascii="仿宋_GB2312" w:hAnsi="仿宋_GB2312" w:cs="仿宋_GB2312" w:eastAsia="仿宋_GB2312"/>
                <w:sz w:val="28"/>
                <w:color w:val="000000"/>
              </w:rPr>
              <w:t>人员提供技术支持。</w:t>
            </w:r>
          </w:p>
          <w:p>
            <w:pPr>
              <w:pStyle w:val="null3"/>
              <w:ind w:left="585"/>
              <w:jc w:val="left"/>
            </w:pPr>
            <w:r>
              <w:rPr>
                <w:rFonts w:ascii="仿宋_GB2312" w:hAnsi="仿宋_GB2312" w:cs="仿宋_GB2312" w:eastAsia="仿宋_GB2312"/>
                <w:sz w:val="28"/>
                <w:color w:val="000000"/>
              </w:rPr>
              <w:t>7．移动办公套餐服务</w:t>
            </w:r>
          </w:p>
          <w:p>
            <w:pPr>
              <w:pStyle w:val="null3"/>
              <w:spacing w:before="180"/>
              <w:ind w:left="585"/>
              <w:jc w:val="left"/>
            </w:pPr>
            <w:r>
              <w:rPr>
                <w:rFonts w:ascii="仿宋_GB2312" w:hAnsi="仿宋_GB2312" w:cs="仿宋_GB2312" w:eastAsia="仿宋_GB2312"/>
                <w:sz w:val="28"/>
                <w:color w:val="000000"/>
              </w:rPr>
              <w:t>基本要求：</w:t>
            </w:r>
          </w:p>
          <w:p>
            <w:pPr>
              <w:pStyle w:val="null3"/>
              <w:spacing w:before="180"/>
              <w:ind w:left="600"/>
              <w:jc w:val="left"/>
            </w:pPr>
            <w:r>
              <w:rPr>
                <w:rFonts w:ascii="仿宋_GB2312" w:hAnsi="仿宋_GB2312" w:cs="仿宋_GB2312" w:eastAsia="仿宋_GB2312"/>
                <w:sz w:val="28"/>
                <w:color w:val="000000"/>
              </w:rPr>
              <w:t>1）提供</w:t>
            </w:r>
            <w:r>
              <w:rPr>
                <w:rFonts w:ascii="仿宋_GB2312" w:hAnsi="仿宋_GB2312" w:cs="仿宋_GB2312" w:eastAsia="仿宋_GB2312"/>
                <w:sz w:val="28"/>
                <w:color w:val="000000"/>
              </w:rPr>
              <w:t>115</w:t>
            </w:r>
            <w:r>
              <w:rPr>
                <w:rFonts w:ascii="仿宋_GB2312" w:hAnsi="仿宋_GB2312" w:cs="仿宋_GB2312" w:eastAsia="仿宋_GB2312"/>
                <w:sz w:val="28"/>
                <w:color w:val="000000"/>
              </w:rPr>
              <w:t>套监务通专用号卡服务。</w:t>
            </w:r>
          </w:p>
          <w:p>
            <w:pPr>
              <w:pStyle w:val="null3"/>
              <w:spacing w:before="180"/>
              <w:ind w:left="60" w:right="30" w:firstLine="519"/>
              <w:jc w:val="left"/>
            </w:pPr>
            <w:r>
              <w:rPr>
                <w:rFonts w:ascii="仿宋_GB2312" w:hAnsi="仿宋_GB2312" w:cs="仿宋_GB2312" w:eastAsia="仿宋_GB2312"/>
                <w:sz w:val="28"/>
                <w:color w:val="000000"/>
              </w:rPr>
              <w:t>2）该服务内容具备语音及上网功能,其中语音主叫</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分钟、国</w:t>
            </w:r>
            <w:r>
              <w:rPr>
                <w:rFonts w:ascii="仿宋_GB2312" w:hAnsi="仿宋_GB2312" w:cs="仿宋_GB2312" w:eastAsia="仿宋_GB2312"/>
                <w:sz w:val="28"/>
                <w:color w:val="000000"/>
              </w:rPr>
              <w:t>内流量</w:t>
            </w:r>
            <w:r>
              <w:rPr>
                <w:rFonts w:ascii="仿宋_GB2312" w:hAnsi="仿宋_GB2312" w:cs="仿宋_GB2312" w:eastAsia="仿宋_GB2312"/>
                <w:sz w:val="28"/>
                <w:color w:val="000000"/>
              </w:rPr>
              <w:t>60G;</w:t>
            </w:r>
          </w:p>
          <w:p>
            <w:pPr>
              <w:pStyle w:val="null3"/>
              <w:spacing w:before="180"/>
              <w:ind w:left="585"/>
              <w:jc w:val="left"/>
            </w:pPr>
            <w:r>
              <w:rPr>
                <w:rFonts w:ascii="仿宋_GB2312" w:hAnsi="仿宋_GB2312" w:cs="仿宋_GB2312" w:eastAsia="仿宋_GB2312"/>
                <w:sz w:val="28"/>
                <w:color w:val="000000"/>
              </w:rPr>
              <w:t>3）要求所有服务对象统一付费；</w:t>
            </w:r>
          </w:p>
          <w:p>
            <w:pPr>
              <w:pStyle w:val="null3"/>
              <w:spacing w:before="180"/>
              <w:ind w:left="585"/>
              <w:jc w:val="left"/>
            </w:pPr>
            <w:r>
              <w:rPr>
                <w:rFonts w:ascii="仿宋_GB2312" w:hAnsi="仿宋_GB2312" w:cs="仿宋_GB2312" w:eastAsia="仿宋_GB2312"/>
                <w:sz w:val="28"/>
                <w:color w:val="000000"/>
              </w:rPr>
              <w:t>8．性能需求</w:t>
            </w:r>
          </w:p>
          <w:p>
            <w:pPr>
              <w:pStyle w:val="null3"/>
              <w:spacing w:before="180"/>
              <w:ind w:left="45" w:right="30" w:firstLine="543"/>
              <w:jc w:val="left"/>
            </w:pPr>
            <w:r>
              <w:rPr>
                <w:rFonts w:ascii="仿宋_GB2312" w:hAnsi="仿宋_GB2312" w:cs="仿宋_GB2312" w:eastAsia="仿宋_GB2312"/>
                <w:sz w:val="28"/>
                <w:color w:val="000000"/>
              </w:rPr>
              <w:t>（1）不间断系统运行：能够为纪委监委工作人员提供</w:t>
            </w:r>
            <w:r>
              <w:rPr>
                <w:rFonts w:ascii="仿宋_GB2312" w:hAnsi="仿宋_GB2312" w:cs="仿宋_GB2312" w:eastAsia="仿宋_GB2312"/>
                <w:sz w:val="28"/>
                <w:color w:val="000000"/>
              </w:rPr>
              <w:t>7*24</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的服务。</w:t>
            </w:r>
          </w:p>
          <w:p>
            <w:pPr>
              <w:pStyle w:val="null3"/>
              <w:spacing w:before="180"/>
              <w:ind w:left="60" w:right="30" w:firstLine="532"/>
              <w:jc w:val="left"/>
            </w:pPr>
            <w:r>
              <w:rPr>
                <w:rFonts w:ascii="仿宋_GB2312" w:hAnsi="仿宋_GB2312" w:cs="仿宋_GB2312" w:eastAsia="仿宋_GB2312"/>
                <w:sz w:val="28"/>
                <w:color w:val="000000"/>
              </w:rPr>
              <w:t>（2）数据处理能力：常规信息查询响应时</w:t>
            </w:r>
            <w:r>
              <w:rPr>
                <w:rFonts w:ascii="仿宋_GB2312" w:hAnsi="仿宋_GB2312" w:cs="仿宋_GB2312" w:eastAsia="仿宋_GB2312"/>
                <w:sz w:val="28"/>
                <w:color w:val="000000"/>
              </w:rPr>
              <w:t>间不超过3</w:t>
            </w:r>
            <w:r>
              <w:rPr>
                <w:rFonts w:ascii="仿宋_GB2312" w:hAnsi="仿宋_GB2312" w:cs="仿宋_GB2312" w:eastAsia="仿宋_GB2312"/>
                <w:sz w:val="28"/>
                <w:color w:val="000000"/>
              </w:rPr>
              <w:t>秒；常规</w:t>
            </w:r>
            <w:r>
              <w:rPr>
                <w:rFonts w:ascii="仿宋_GB2312" w:hAnsi="仿宋_GB2312" w:cs="仿宋_GB2312" w:eastAsia="仿宋_GB2312"/>
                <w:sz w:val="28"/>
                <w:color w:val="000000"/>
              </w:rPr>
              <w:t>图片查询响应时间不超过</w:t>
            </w:r>
            <w:r>
              <w:rPr>
                <w:rFonts w:ascii="仿宋_GB2312" w:hAnsi="仿宋_GB2312" w:cs="仿宋_GB2312" w:eastAsia="仿宋_GB2312"/>
                <w:sz w:val="28"/>
                <w:color w:val="000000"/>
              </w:rPr>
              <w:t>10</w:t>
            </w:r>
            <w:r>
              <w:rPr>
                <w:rFonts w:ascii="仿宋_GB2312" w:hAnsi="仿宋_GB2312" w:cs="仿宋_GB2312" w:eastAsia="仿宋_GB2312"/>
                <w:sz w:val="28"/>
                <w:color w:val="000000"/>
              </w:rPr>
              <w:t>秒。</w:t>
            </w:r>
          </w:p>
          <w:p>
            <w:pPr>
              <w:pStyle w:val="null3"/>
              <w:spacing w:before="180"/>
              <w:ind w:left="585"/>
              <w:jc w:val="left"/>
            </w:pPr>
            <w:r>
              <w:rPr>
                <w:rFonts w:ascii="仿宋_GB2312" w:hAnsi="仿宋_GB2312" w:cs="仿宋_GB2312" w:eastAsia="仿宋_GB2312"/>
                <w:sz w:val="28"/>
                <w:color w:val="000000"/>
              </w:rPr>
              <w:t>（3）系统稳定性：系统意外故障恢复时间不大于</w:t>
            </w:r>
            <w:r>
              <w:rPr>
                <w:rFonts w:ascii="仿宋_GB2312" w:hAnsi="仿宋_GB2312" w:cs="仿宋_GB2312" w:eastAsia="仿宋_GB2312"/>
                <w:sz w:val="28"/>
                <w:color w:val="000000"/>
              </w:rPr>
              <w:t>4</w:t>
            </w:r>
            <w:r>
              <w:rPr>
                <w:rFonts w:ascii="仿宋_GB2312" w:hAnsi="仿宋_GB2312" w:cs="仿宋_GB2312" w:eastAsia="仿宋_GB2312"/>
                <w:sz w:val="28"/>
                <w:color w:val="000000"/>
              </w:rPr>
              <w:t>小时。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80"/>
              <w:ind w:right="345"/>
              <w:jc w:val="left"/>
            </w:pPr>
            <w:r>
              <w:rPr>
                <w:rFonts w:ascii="仿宋_GB2312" w:hAnsi="仿宋_GB2312" w:cs="仿宋_GB2312" w:eastAsia="仿宋_GB2312"/>
                <w:sz w:val="28"/>
                <w:color w:val="000000"/>
              </w:rPr>
              <w:t>二、技术要求</w:t>
            </w:r>
          </w:p>
          <w:p>
            <w:pPr>
              <w:pStyle w:val="null3"/>
              <w:spacing w:before="180"/>
              <w:ind w:right="34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需遵循国家及行业相关技术标准、安全规范，确保与市平台</w:t>
            </w:r>
            <w:r>
              <w:rPr>
                <w:rFonts w:ascii="仿宋_GB2312" w:hAnsi="仿宋_GB2312" w:cs="仿宋_GB2312" w:eastAsia="仿宋_GB2312"/>
                <w:sz w:val="28"/>
                <w:color w:val="000000"/>
              </w:rPr>
              <w:t>对接的合法性、合规性。</w:t>
            </w:r>
          </w:p>
          <w:p>
            <w:pPr>
              <w:pStyle w:val="null3"/>
              <w:spacing w:before="180"/>
              <w:ind w:right="345"/>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系统应具备良好的兼容性、稳定性和可扩展性，能适应市平</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台未来功能升级及业务增长需求。</w:t>
            </w:r>
          </w:p>
          <w:p>
            <w:pPr>
              <w:pStyle w:val="null3"/>
              <w:spacing w:before="180"/>
              <w:ind w:right="345"/>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数据交互需保证实时性、准确性和完整性，确保市平台与接</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入方系统数据一致。</w:t>
            </w:r>
          </w:p>
          <w:tbl>
            <w:tblPr>
              <w:tblInd w:type="dxa" w:w="105"/>
              <w:tblBorders>
                <w:top w:val="none" w:color="000000" w:sz="4"/>
                <w:left w:val="none" w:color="000000" w:sz="4"/>
                <w:bottom w:val="none" w:color="000000" w:sz="4"/>
                <w:right w:val="none" w:color="000000" w:sz="4"/>
                <w:insideH w:val="none"/>
                <w:insideV w:val="none"/>
              </w:tblBorders>
            </w:tblPr>
            <w:tblGrid>
              <w:gridCol w:w="468"/>
              <w:gridCol w:w="2079"/>
            </w:tblGrid>
            <w:tr>
              <w:tc>
                <w:tcPr>
                  <w:tcW w:type="dxa" w:w="468"/>
                  <w:tcBorders>
                    <w:top w:val="single" w:color="000000" w:sz="4"/>
                    <w:left w:val="single" w:color="000000" w:sz="4"/>
                    <w:bottom w:val="single" w:color="000000" w:sz="4"/>
                    <w:right w:val="single" w:color="000000" w:sz="4"/>
                  </w:tcBorders>
                  <w:shd w:fill="B3B3B3"/>
                  <w:tcMar>
                    <w:top w:type="dxa" w:w="0"/>
                    <w:left w:type="dxa" w:w="0"/>
                    <w:bottom w:type="dxa" w:w="0"/>
                    <w:right w:type="dxa" w:w="0"/>
                  </w:tcMar>
                  <w:vAlign w:val="top"/>
                </w:tcPr>
                <w:p>
                  <w:pPr>
                    <w:pStyle w:val="null3"/>
                    <w:spacing w:before="105"/>
                    <w:ind w:left="600"/>
                    <w:jc w:val="left"/>
                  </w:pPr>
                  <w:r>
                    <w:rPr>
                      <w:rFonts w:ascii="仿宋_GB2312" w:hAnsi="仿宋_GB2312" w:cs="仿宋_GB2312" w:eastAsia="仿宋_GB2312"/>
                      <w:sz w:val="28"/>
                      <w:b/>
                      <w:color w:val="000000"/>
                    </w:rPr>
                    <w:t>项目</w:t>
                  </w:r>
                </w:p>
              </w:tc>
              <w:tc>
                <w:tcPr>
                  <w:tcW w:type="dxa" w:w="2079"/>
                  <w:tcBorders>
                    <w:top w:val="single" w:color="000000" w:sz="4"/>
                    <w:left w:val="single" w:color="000000" w:sz="4"/>
                    <w:bottom w:val="single" w:color="000000" w:sz="4"/>
                    <w:right w:val="single" w:color="000000" w:sz="4"/>
                  </w:tcBorders>
                  <w:shd w:fill="B3B3B3"/>
                  <w:tcMar>
                    <w:top w:type="dxa" w:w="0"/>
                    <w:left w:type="dxa" w:w="0"/>
                    <w:bottom w:type="dxa" w:w="0"/>
                    <w:right w:type="dxa" w:w="0"/>
                  </w:tcMar>
                  <w:vAlign w:val="top"/>
                </w:tcPr>
                <w:p>
                  <w:pPr>
                    <w:pStyle w:val="null3"/>
                    <w:spacing w:before="105"/>
                    <w:ind w:left="3180"/>
                    <w:jc w:val="left"/>
                  </w:pPr>
                  <w:r>
                    <w:rPr>
                      <w:rFonts w:ascii="仿宋_GB2312" w:hAnsi="仿宋_GB2312" w:cs="仿宋_GB2312" w:eastAsia="仿宋_GB2312"/>
                      <w:sz w:val="28"/>
                      <w:b/>
                      <w:color w:val="000000"/>
                    </w:rPr>
                    <w:t>服务要求</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8"/>
                      <w:color w:val="000000"/>
                    </w:rPr>
                    <w:t>施工周期</w:t>
                  </w:r>
                </w:p>
              </w:tc>
              <w:tc>
                <w:tcPr>
                  <w:tcW w:type="dxa" w:w="20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仿宋_GB2312" w:hAnsi="仿宋_GB2312" w:cs="仿宋_GB2312" w:eastAsia="仿宋_GB2312"/>
                      <w:sz w:val="28"/>
                      <w:color w:val="000000"/>
                    </w:rPr>
                    <w:t>45个工作日</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8"/>
                      <w:color w:val="000000"/>
                    </w:rPr>
                    <w:t>质量保证期</w:t>
                  </w:r>
                </w:p>
              </w:tc>
              <w:tc>
                <w:tcPr>
                  <w:tcW w:type="dxa" w:w="20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仿宋_GB2312" w:hAnsi="仿宋_GB2312" w:cs="仿宋_GB2312" w:eastAsia="仿宋_GB2312"/>
                      <w:sz w:val="28"/>
                      <w:color w:val="000000"/>
                    </w:rPr>
                    <w:t>服务期间提供2年质保。</w:t>
                  </w:r>
                </w:p>
              </w:tc>
            </w:tr>
            <w:tr>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8"/>
                      <w:color w:val="000000"/>
                    </w:rPr>
                    <w:t>服务响应</w:t>
                  </w:r>
                </w:p>
              </w:tc>
              <w:tc>
                <w:tcPr>
                  <w:tcW w:type="dxa" w:w="20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65" w:firstLine="15"/>
                  </w:pPr>
                  <w:r>
                    <w:rPr>
                      <w:rFonts w:ascii="仿宋_GB2312" w:hAnsi="仿宋_GB2312" w:cs="仿宋_GB2312" w:eastAsia="仿宋_GB2312"/>
                      <w:sz w:val="28"/>
                      <w:color w:val="000000"/>
                    </w:rPr>
                    <w:t>1.如果发生宕机或设备严重故障，乙方应在接到用户报修电话后10分钟内响</w:t>
                  </w:r>
                  <w:r>
                    <w:rPr>
                      <w:rFonts w:ascii="仿宋_GB2312" w:hAnsi="仿宋_GB2312" w:cs="仿宋_GB2312" w:eastAsia="仿宋_GB2312"/>
                      <w:sz w:val="28"/>
                      <w:color w:val="000000"/>
                    </w:rPr>
                    <w:t>应，并在2个小时内赶到现场，提供维护服务</w:t>
                  </w:r>
                  <w:r>
                    <w:rPr>
                      <w:rFonts w:ascii="仿宋_GB2312" w:hAnsi="仿宋_GB2312" w:cs="仿宋_GB2312" w:eastAsia="仿宋_GB2312"/>
                      <w:sz w:val="28"/>
                      <w:color w:val="000000"/>
                    </w:rPr>
                    <w:t>；</w:t>
                  </w:r>
                  <w:r>
                    <w:rPr>
                      <w:rFonts w:ascii="仿宋_GB2312" w:hAnsi="仿宋_GB2312" w:cs="仿宋_GB2312" w:eastAsia="仿宋_GB2312"/>
                      <w:sz w:val="28"/>
                      <w:color w:val="000000"/>
                    </w:rPr>
                    <w:t>平均故障修复时间为4小时。</w:t>
                  </w:r>
                </w:p>
                <w:p>
                  <w:pPr>
                    <w:pStyle w:val="null3"/>
                    <w:spacing w:before="225"/>
                    <w:ind w:left="120" w:right="165"/>
                  </w:pPr>
                  <w:r>
                    <w:rPr>
                      <w:rFonts w:ascii="仿宋_GB2312" w:hAnsi="仿宋_GB2312" w:cs="仿宋_GB2312" w:eastAsia="仿宋_GB2312"/>
                      <w:sz w:val="28"/>
                      <w:color w:val="000000"/>
                    </w:rPr>
                    <w:t>2.如果发生非宕机故障，乙方应在接到用户报修电话后1小</w:t>
                  </w:r>
                  <w:r>
                    <w:rPr>
                      <w:rFonts w:ascii="仿宋_GB2312" w:hAnsi="仿宋_GB2312" w:cs="仿宋_GB2312" w:eastAsia="仿宋_GB2312"/>
                      <w:sz w:val="28"/>
                      <w:color w:val="000000"/>
                    </w:rPr>
                    <w:t>时内响应，并根据用户要求和实际情况到用户现场，提供维护服务。</w:t>
                  </w:r>
                </w:p>
                <w:p>
                  <w:pPr>
                    <w:pStyle w:val="null3"/>
                    <w:spacing w:before="225"/>
                    <w:ind w:left="120"/>
                  </w:pPr>
                  <w:r>
                    <w:rPr>
                      <w:rFonts w:ascii="仿宋_GB2312" w:hAnsi="仿宋_GB2312" w:cs="仿宋_GB2312" w:eastAsia="仿宋_GB2312"/>
                      <w:sz w:val="28"/>
                      <w:color w:val="000000"/>
                    </w:rPr>
                    <w:t>3.如果有重要变更，乙方应按照用户要求的时间到用户现场,提供</w:t>
                  </w:r>
                  <w:r>
                    <w:rPr>
                      <w:rFonts w:ascii="仿宋_GB2312" w:hAnsi="仿宋_GB2312" w:cs="仿宋_GB2312" w:eastAsia="仿宋_GB2312"/>
                      <w:sz w:val="28"/>
                      <w:color w:val="000000"/>
                    </w:rPr>
                    <w:t>保障服务。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实施及运维团队成员专业齐备，分工明确，具备完成本项目的工作能力。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合同签订后45个工作日内完成系统配置，本系统自最终验收合格之日起，提供24个月的系统服务、12个月移动办公套餐服务。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交付要求：对系统进行集成测试，组织项目验收合格。 质量验收标准或规范：达到国家和行业相关规范、标准及采购人考核要求；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合同签订生效后并完成系统服务接入7 个日历日内，乙方开具合同额的95%增值税发票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余款 5%，维护期满后30个日历日内一次性不计息付清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供应商如出现违约情况须按照合同相关条款承担违约责任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一、响应函 九、资格证明文件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一、响应函 九、资格证明文件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 “政府采购严重违法失信行为信息记录”中的禁止参加政府采购活动期间</w:t>
            </w:r>
          </w:p>
        </w:tc>
        <w:tc>
          <w:tcPr>
            <w:tcW w:type="dxa" w:w="1661"/>
          </w:tcPr>
          <w:p>
            <w:pPr>
              <w:pStyle w:val="null3"/>
            </w:pPr>
            <w:r>
              <w:rPr>
                <w:rFonts w:ascii="仿宋_GB2312" w:hAnsi="仿宋_GB2312" w:cs="仿宋_GB2312" w:eastAsia="仿宋_GB2312"/>
              </w:rPr>
              <w:t>九、资格证明文件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九、资格证明文件 二、法定代表人证明书与法定代表人授权书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九、资格证明文件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一、响应函 三、报价表 标的清单 四、分项报价表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符合磋商文件的要求（自提交响应文件的截止之日起90个日历日）</w:t>
            </w:r>
          </w:p>
        </w:tc>
        <w:tc>
          <w:tcPr>
            <w:tcW w:type="dxa" w:w="1661"/>
          </w:tcPr>
          <w:p>
            <w:pPr>
              <w:pStyle w:val="null3"/>
            </w:pPr>
            <w:r>
              <w:rPr>
                <w:rFonts w:ascii="仿宋_GB2312" w:hAnsi="仿宋_GB2312" w:cs="仿宋_GB2312" w:eastAsia="仿宋_GB2312"/>
              </w:rPr>
              <w:t>一、响应函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报价不超过最高限价</w:t>
            </w:r>
          </w:p>
        </w:tc>
        <w:tc>
          <w:tcPr>
            <w:tcW w:type="dxa" w:w="1661"/>
          </w:tcPr>
          <w:p>
            <w:pPr>
              <w:pStyle w:val="null3"/>
            </w:pPr>
            <w:r>
              <w:rPr>
                <w:rFonts w:ascii="仿宋_GB2312" w:hAnsi="仿宋_GB2312" w:cs="仿宋_GB2312" w:eastAsia="仿宋_GB2312"/>
              </w:rPr>
              <w:t>响应文件封面 三、报价表 标的清单 四、分项报价表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按磋商文件要求，响应文件上法定代表人或其委托代理人的签字或印章齐全、加盖单位公章</w:t>
            </w:r>
          </w:p>
        </w:tc>
        <w:tc>
          <w:tcPr>
            <w:tcW w:type="dxa" w:w="1661"/>
          </w:tcPr>
          <w:p>
            <w:pPr>
              <w:pStyle w:val="null3"/>
            </w:pPr>
            <w:r>
              <w:rPr>
                <w:rFonts w:ascii="仿宋_GB2312" w:hAnsi="仿宋_GB2312" w:cs="仿宋_GB2312" w:eastAsia="仿宋_GB2312"/>
              </w:rPr>
              <w:t>六、服务内容及服务邀请应答表 中小企业声明函 三、报价表 四、分项报价表 十一、其他事项 十、陕西省政府采购供应商拒绝政府采购领域商业贿赂承诺书 五、服务方案 响应文件封面 一、响应函 七、商务应答表 残疾人福利性单位声明函 九、资格证明文件 标的清单 二、法定代表人证明书与法定代表人授权书 八、人员配置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服务及商务要求</w:t>
            </w:r>
          </w:p>
        </w:tc>
        <w:tc>
          <w:tcPr>
            <w:tcW w:type="dxa" w:w="3322"/>
          </w:tcPr>
          <w:p>
            <w:pPr>
              <w:pStyle w:val="null3"/>
            </w:pPr>
            <w:r>
              <w:rPr>
                <w:rFonts w:ascii="仿宋_GB2312" w:hAnsi="仿宋_GB2312" w:cs="仿宋_GB2312" w:eastAsia="仿宋_GB2312"/>
              </w:rPr>
              <w:t>服务及商务要求是否满足实质性要求的（服务内容、技术要求、服务期、付款方式满足采购文件要求）</w:t>
            </w:r>
          </w:p>
        </w:tc>
        <w:tc>
          <w:tcPr>
            <w:tcW w:type="dxa" w:w="1661"/>
          </w:tcPr>
          <w:p>
            <w:pPr>
              <w:pStyle w:val="null3"/>
            </w:pPr>
            <w:r>
              <w:rPr>
                <w:rFonts w:ascii="仿宋_GB2312" w:hAnsi="仿宋_GB2312" w:cs="仿宋_GB2312" w:eastAsia="仿宋_GB2312"/>
              </w:rPr>
              <w:t>六、服务内容及服务邀请应答表 七、商务应答表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需依据采购要求，能根据项目的整体特点，编写合理的项目总体方案，根据方案内容的合理性、可操作性、完整性、准确性及详尽程度进行评分：方案针对性强、科学合理、内容完整、具有较强的可操作性的得10.1-15分；方案有一定针对性、较为科学合理、内容较完整、具有一定的可操作性的得5.1-10分；方案针对性基本符合要求、基本科学合理、内容基本完整、可操作性一般的得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根据供应商提供的服务内容包括不限于安全接入服务、移动安全通信服务、移动终端管理服务、监务通移动门户服务等进行计分。 （1）投标人提供的服务内容完善、详尽、可实施性强的计7.1-10分；（2）服务内容较完善、详尽的、可实施性符合要求的计4.1-7分；（3）服务内容较不完善、不详尽的、可实施性基本符合要求的计1-4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系统功能介绍</w:t>
            </w:r>
          </w:p>
        </w:tc>
        <w:tc>
          <w:tcPr>
            <w:tcW w:type="dxa" w:w="2492"/>
          </w:tcPr>
          <w:p>
            <w:pPr>
              <w:pStyle w:val="null3"/>
            </w:pPr>
            <w:r>
              <w:rPr>
                <w:rFonts w:ascii="仿宋_GB2312" w:hAnsi="仿宋_GB2312" w:cs="仿宋_GB2312" w:eastAsia="仿宋_GB2312"/>
              </w:rPr>
              <w:t>系统功能：系统配置科学齐全，功能完备，无缺漏项，系统功能符合项目需要。同时考虑今后发展的要求，各个子系统集成配置协调，符合实用、先进、安全可靠、可扩充性原则，软件体系层次清楚，系统实现功能完整，操作直观方便，功能模块须有展示截图介绍。根据响应程度进行评审：（1）投标人提供的系统功能介绍内容完善、详尽、功能齐全实用性强的计10.1-15分；（2）投标人提供的系统功能介绍内容基本完善、详尽的、功能、实用性符合要求的计5.1-10分；（3）投标人提供的系统功能介绍内容不尽完善、详细的、功能、实用性一般的计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企业组织架构、人员、职责、业务流程方案</w:t>
            </w:r>
          </w:p>
        </w:tc>
        <w:tc>
          <w:tcPr>
            <w:tcW w:type="dxa" w:w="2492"/>
          </w:tcPr>
          <w:p>
            <w:pPr>
              <w:pStyle w:val="null3"/>
            </w:pPr>
            <w:r>
              <w:rPr>
                <w:rFonts w:ascii="仿宋_GB2312" w:hAnsi="仿宋_GB2312" w:cs="仿宋_GB2312" w:eastAsia="仿宋_GB2312"/>
              </w:rPr>
              <w:t>根据供应商提供的企业管理组织架构、人员分工和工作职责划分、业务管理流程进行评审。 企业组织架构完善、人员分工和工作职责划分明确、业务管理流程详尽、完整得7.1-10分；企业组织架构清晰、人员分工和工作职责划分比较明确、业务管理流程基本完整得4.1-7分；企业组织架构、人员分工和工作职责划分、业务管理流程存在缺漏的得1-4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根据各供应商提供的后期服务保证措施、服务响应时间、成果交付时间进行评审（1）服务保证措施完整、可行性强、服务响应时间、成果交付时间明确的计3.1-6分；（2）服务保证措施一般、可行性一般、服务响应时间、成果交付时间明确的计1-3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项目组织、质量、进度保证措施</w:t>
            </w:r>
          </w:p>
        </w:tc>
        <w:tc>
          <w:tcPr>
            <w:tcW w:type="dxa" w:w="2492"/>
          </w:tcPr>
          <w:p>
            <w:pPr>
              <w:pStyle w:val="null3"/>
            </w:pPr>
            <w:r>
              <w:rPr>
                <w:rFonts w:ascii="仿宋_GB2312" w:hAnsi="仿宋_GB2312" w:cs="仿宋_GB2312" w:eastAsia="仿宋_GB2312"/>
              </w:rPr>
              <w:t>供应商根据项目特点在满足招标文件服务期限要求的前提下编制的项目组织、质量、进度控制和保证措施方案，评标委员会根据投标人编制内容按以下标准进行打分。 （1）方案能结合本项目实际情况、组织合理高效，成果质量能根据采购人要求进行修改提升、进度掌控合理有效的计3.1-6分；（2）方案组织对实际项目的针对性不强，实操性较弱的计1-3分；不提供不得分。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编写的培训方案，评委对以下评分要素进行打分：培训方案及内容、培训方式、专职培训人员名单。（1）供应商的售后培训方案科学合理、能针对本项目提出相适应的培训方案内容、培训方式有效、人员名单清晰的计3.1-6分；（2）其他情形的计1-3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编写的售后服务方案，根据服务质量承诺、专职售后服务人员名单、发现特殊情况的响应时间及方案、本地化服务的实施方案；（1）售后服务方案内容完整、逻辑性强，售后服务时间以及其他相关内容完整详尽、售后人员分工合理、针对特殊情况的响应及时的计3.1-6分（2）其他情形情形的计1-3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供应商根据针对应急处理方案（包含但不限于系统故障后的预设方案、解决办法等）进行计分。 投标人的方案完善，预设方案内容覆盖全面、应急调配迅速、解决办法合理高效，可实施性强的计3.1-6分；（2）其他情形的计1-3分；不提供不得分。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供应商提供与本项目类似的业绩，提供业绩合同复印件加盖公章（项目必须为2022年1月1日及以后）。每提供1个得2分；本项最多得10分。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五、服务方案</w:t>
            </w:r>
          </w:p>
          <w:p>
            <w:pPr>
              <w:pStyle w:val="null3"/>
            </w:pPr>
            <w:r>
              <w:rPr>
                <w:rFonts w:ascii="仿宋_GB2312" w:hAnsi="仿宋_GB2312" w:cs="仿宋_GB2312" w:eastAsia="仿宋_GB2312"/>
              </w:rPr>
              <w:t>八、人员配置</w:t>
            </w:r>
          </w:p>
          <w:p>
            <w:pPr>
              <w:pStyle w:val="null3"/>
            </w:pPr>
            <w:r>
              <w:rPr>
                <w:rFonts w:ascii="仿宋_GB2312" w:hAnsi="仿宋_GB2312" w:cs="仿宋_GB2312" w:eastAsia="仿宋_GB2312"/>
              </w:rPr>
              <w:t>十一、其他事项</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满足磋商文件要求且投标价格最低的投标报价为评标基准价，其价格分为满分。其他投标人的价格分统一按照下列公式计算：投标报价得分=（磋商基准价/最后磋商报价）×分值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四、分项报价表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三、报价表 标的清单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详见附件：一、响应函</w:t>
      </w:r>
    </w:p>
    <w:p>
      <w:pPr>
        <w:pStyle w:val="null3"/>
        <w:ind w:firstLine="960"/>
      </w:pPr>
      <w:r>
        <w:rPr>
          <w:rFonts w:ascii="仿宋_GB2312" w:hAnsi="仿宋_GB2312" w:cs="仿宋_GB2312" w:eastAsia="仿宋_GB2312"/>
        </w:rPr>
        <w:t>详见附件：二、法定代表人证明书与法定代表人授权书</w:t>
      </w:r>
    </w:p>
    <w:p>
      <w:pPr>
        <w:pStyle w:val="null3"/>
        <w:ind w:firstLine="960"/>
      </w:pPr>
      <w:r>
        <w:rPr>
          <w:rFonts w:ascii="仿宋_GB2312" w:hAnsi="仿宋_GB2312" w:cs="仿宋_GB2312" w:eastAsia="仿宋_GB2312"/>
        </w:rPr>
        <w:t>详见附件：三、报价表</w:t>
      </w:r>
    </w:p>
    <w:p>
      <w:pPr>
        <w:pStyle w:val="null3"/>
        <w:ind w:firstLine="960"/>
      </w:pPr>
      <w:r>
        <w:rPr>
          <w:rFonts w:ascii="仿宋_GB2312" w:hAnsi="仿宋_GB2312" w:cs="仿宋_GB2312" w:eastAsia="仿宋_GB2312"/>
        </w:rPr>
        <w:t>详见附件：四、分项报价表</w:t>
      </w:r>
    </w:p>
    <w:p>
      <w:pPr>
        <w:pStyle w:val="null3"/>
        <w:ind w:firstLine="960"/>
      </w:pPr>
      <w:r>
        <w:rPr>
          <w:rFonts w:ascii="仿宋_GB2312" w:hAnsi="仿宋_GB2312" w:cs="仿宋_GB2312" w:eastAsia="仿宋_GB2312"/>
        </w:rPr>
        <w:t>详见附件：五、服务方案</w:t>
      </w:r>
    </w:p>
    <w:p>
      <w:pPr>
        <w:pStyle w:val="null3"/>
        <w:ind w:firstLine="960"/>
      </w:pPr>
      <w:r>
        <w:rPr>
          <w:rFonts w:ascii="仿宋_GB2312" w:hAnsi="仿宋_GB2312" w:cs="仿宋_GB2312" w:eastAsia="仿宋_GB2312"/>
        </w:rPr>
        <w:t>详见附件：六、服务内容及服务邀请应答表</w:t>
      </w:r>
    </w:p>
    <w:p>
      <w:pPr>
        <w:pStyle w:val="null3"/>
        <w:ind w:firstLine="960"/>
      </w:pPr>
      <w:r>
        <w:rPr>
          <w:rFonts w:ascii="仿宋_GB2312" w:hAnsi="仿宋_GB2312" w:cs="仿宋_GB2312" w:eastAsia="仿宋_GB2312"/>
        </w:rPr>
        <w:t>详见附件：七、商务应答表</w:t>
      </w:r>
    </w:p>
    <w:p>
      <w:pPr>
        <w:pStyle w:val="null3"/>
        <w:ind w:firstLine="960"/>
      </w:pPr>
      <w:r>
        <w:rPr>
          <w:rFonts w:ascii="仿宋_GB2312" w:hAnsi="仿宋_GB2312" w:cs="仿宋_GB2312" w:eastAsia="仿宋_GB2312"/>
        </w:rPr>
        <w:t>详见附件：八、人员配置</w:t>
      </w:r>
    </w:p>
    <w:p>
      <w:pPr>
        <w:pStyle w:val="null3"/>
        <w:ind w:firstLine="960"/>
      </w:pPr>
      <w:r>
        <w:rPr>
          <w:rFonts w:ascii="仿宋_GB2312" w:hAnsi="仿宋_GB2312" w:cs="仿宋_GB2312" w:eastAsia="仿宋_GB2312"/>
        </w:rPr>
        <w:t>详见附件：九、资格证明文件</w:t>
      </w:r>
    </w:p>
    <w:p>
      <w:pPr>
        <w:pStyle w:val="null3"/>
        <w:ind w:firstLine="960"/>
      </w:pPr>
      <w:r>
        <w:rPr>
          <w:rFonts w:ascii="仿宋_GB2312" w:hAnsi="仿宋_GB2312" w:cs="仿宋_GB2312" w:eastAsia="仿宋_GB2312"/>
        </w:rPr>
        <w:t>详见附件：十、陕西省政府采购供应商拒绝政府采购领域商业贿赂承诺书</w:t>
      </w:r>
    </w:p>
    <w:p>
      <w:pPr>
        <w:pStyle w:val="null3"/>
        <w:ind w:firstLine="960"/>
      </w:pPr>
      <w:r>
        <w:rPr>
          <w:rFonts w:ascii="仿宋_GB2312" w:hAnsi="仿宋_GB2312" w:cs="仿宋_GB2312" w:eastAsia="仿宋_GB2312"/>
        </w:rPr>
        <w:t>详见附件：十一、其他事项</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