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版本号：SDZC2026-00520260113001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2025年第一批市级财政农业农村发展专项资金（粮食作物重大病虫害应急防治）项目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SDZC2026-005</w:t>
      </w:r>
      <w:r>
        <w:br/>
      </w:r>
      <w:r>
        <w:br/>
      </w:r>
      <w:r>
        <w:br/>
      </w:r>
    </w:p>
    <w:p>
      <w:pPr>
        <w:pStyle w:val="null3"/>
        <w:jc w:val="center"/>
        <w:outlineLvl w:val="2"/>
      </w:pPr>
      <w:r>
        <w:rPr>
          <w:rFonts w:ascii="仿宋_GB2312" w:hAnsi="仿宋_GB2312" w:cs="仿宋_GB2312" w:eastAsia="仿宋_GB2312"/>
          <w:sz w:val="28"/>
          <w:b/>
        </w:rPr>
        <w:t>西安市蓝田县农业技术推广中心</w:t>
      </w:r>
    </w:p>
    <w:p>
      <w:pPr>
        <w:pStyle w:val="null3"/>
        <w:jc w:val="center"/>
        <w:outlineLvl w:val="2"/>
      </w:pPr>
      <w:r>
        <w:rPr>
          <w:rFonts w:ascii="仿宋_GB2312" w:hAnsi="仿宋_GB2312" w:cs="仿宋_GB2312" w:eastAsia="仿宋_GB2312"/>
          <w:sz w:val="28"/>
          <w:b/>
        </w:rPr>
        <w:t>陕西上德招标有限公司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2026年01月14日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陕西上德招标有限公司</w:t>
      </w:r>
      <w:r>
        <w:rPr>
          <w:rFonts w:ascii="仿宋_GB2312" w:hAnsi="仿宋_GB2312" w:cs="仿宋_GB2312" w:eastAsia="仿宋_GB2312"/>
        </w:rPr>
        <w:t>（以下简称“代理机构”）受</w:t>
      </w:r>
      <w:r>
        <w:rPr>
          <w:rFonts w:ascii="仿宋_GB2312" w:hAnsi="仿宋_GB2312" w:cs="仿宋_GB2312" w:eastAsia="仿宋_GB2312"/>
        </w:rPr>
        <w:t>西安市蓝田县农业技术推广中心</w:t>
      </w:r>
      <w:r>
        <w:rPr>
          <w:rFonts w:ascii="仿宋_GB2312" w:hAnsi="仿宋_GB2312" w:cs="仿宋_GB2312" w:eastAsia="仿宋_GB2312"/>
        </w:rPr>
        <w:t>委托，拟对</w:t>
      </w:r>
      <w:r>
        <w:rPr>
          <w:rFonts w:ascii="仿宋_GB2312" w:hAnsi="仿宋_GB2312" w:cs="仿宋_GB2312" w:eastAsia="仿宋_GB2312"/>
        </w:rPr>
        <w:t>2025年第一批市级财政农业农村发展专项资金（粮食作物重大病虫害应急防治）项目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SDZC2026-005</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2025年第一批市级财政农业农村发展专项资金（粮食作物重大病虫害应急防治）项目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利用植保无人机开展小麦重大病虫害应急统防统治服务2.15万亩。小麦重大病虫害应急统防统治服务需满足植保无人机飞防作业相关技术要求，防效在85%以上。</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采购包1（应急统防统治面积1万亩）：属于专门面向中小企业采购。</w:t>
      </w:r>
    </w:p>
    <w:p>
      <w:pPr>
        <w:pStyle w:val="null3"/>
      </w:pPr>
      <w:r>
        <w:rPr>
          <w:rFonts w:ascii="仿宋_GB2312" w:hAnsi="仿宋_GB2312" w:cs="仿宋_GB2312" w:eastAsia="仿宋_GB2312"/>
        </w:rPr>
        <w:t>采购包2（应急统防统治面积1.15万亩）：属于专门面向中小企业采购。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1、提供供应商合法注册的法人或其他组织的营业执照等证明文件、自然人的身份证明：提供供应商合法注册的法人或其他组织的营业执照等证明文件、自然人的身份证明。</w:t>
      </w:r>
    </w:p>
    <w:p>
      <w:pPr>
        <w:pStyle w:val="null3"/>
      </w:pPr>
      <w:r>
        <w:rPr>
          <w:rFonts w:ascii="仿宋_GB2312" w:hAnsi="仿宋_GB2312" w:cs="仿宋_GB2312" w:eastAsia="仿宋_GB2312"/>
        </w:rPr>
        <w:t>2、财务状况报告：财务状况报告：提供具有财务审计资质单位出具合法有效的2024年度财务报告（成立时间至开标时间不足一年的可提供成立后任意时段的资产负债表）或开标前六个月内其基本账户银行出具的资信证明或政府采购信用担保机构出具的担保函。</w:t>
      </w:r>
    </w:p>
    <w:p>
      <w:pPr>
        <w:pStyle w:val="null3"/>
      </w:pPr>
      <w:r>
        <w:rPr>
          <w:rFonts w:ascii="仿宋_GB2312" w:hAnsi="仿宋_GB2312" w:cs="仿宋_GB2312" w:eastAsia="仿宋_GB2312"/>
        </w:rPr>
        <w:t>3、税收缴纳证明：税收缴纳证明：提供2025年2月至今任意一个月的缴纳凭据（增值税、企业所得税至少一种）；（依法免税的供应商应提供相关文件证明）。</w:t>
      </w:r>
    </w:p>
    <w:p>
      <w:pPr>
        <w:pStyle w:val="null3"/>
      </w:pPr>
      <w:r>
        <w:rPr>
          <w:rFonts w:ascii="仿宋_GB2312" w:hAnsi="仿宋_GB2312" w:cs="仿宋_GB2312" w:eastAsia="仿宋_GB2312"/>
        </w:rPr>
        <w:t>4、社会保障资金缴纳证明：社会保障资金缴纳证明：提供2025年7月至今任意一个月的社保缴纳凭据或社保机构开具的社会保险参保缴纳情况证明；（依法不需要缴纳社会保障资金的供应商应提供相关证明）。</w:t>
      </w:r>
    </w:p>
    <w:p>
      <w:pPr>
        <w:pStyle w:val="null3"/>
      </w:pPr>
      <w:r>
        <w:rPr>
          <w:rFonts w:ascii="仿宋_GB2312" w:hAnsi="仿宋_GB2312" w:cs="仿宋_GB2312" w:eastAsia="仿宋_GB2312"/>
        </w:rPr>
        <w:t>5、提供具有履行本合同所必需的设备和专业技术能力的说明及承诺：提供具有履行本合同所必需的设备和专业技术能力的说明及承诺；（提供书面说明及承诺， 加盖供应商公章）。</w:t>
      </w:r>
    </w:p>
    <w:p>
      <w:pPr>
        <w:pStyle w:val="null3"/>
      </w:pPr>
      <w:r>
        <w:rPr>
          <w:rFonts w:ascii="仿宋_GB2312" w:hAnsi="仿宋_GB2312" w:cs="仿宋_GB2312" w:eastAsia="仿宋_GB2312"/>
        </w:rPr>
        <w:t>6、提供参加政府采购活动前三年内在经营活动中没有重大违法记录的书面声明：提供参加政府采购活动前三年内在经营活动中没有重大违法记录的书面声明。（提供书面声明，加盖供应商公章）。</w:t>
      </w:r>
    </w:p>
    <w:p>
      <w:pPr>
        <w:pStyle w:val="null3"/>
      </w:pPr>
      <w:r>
        <w:rPr>
          <w:rFonts w:ascii="仿宋_GB2312" w:hAnsi="仿宋_GB2312" w:cs="仿宋_GB2312" w:eastAsia="仿宋_GB2312"/>
        </w:rPr>
        <w:t>7、法定代表人授权委托书：法定代表人授权委托书（附法定代表人身份证复印件及被授权人身份证复印件）；法定代表人直接参加磋商提供法定代表人资格证明书（附法定代表人身份证复印件）；采购文件凡是法定代表人之处，非法人单位的负责人均参照执行；(式样见竞争性磋商响应文件格式)。</w:t>
      </w:r>
    </w:p>
    <w:p>
      <w:pPr>
        <w:pStyle w:val="null3"/>
      </w:pPr>
      <w:r>
        <w:rPr>
          <w:rFonts w:ascii="仿宋_GB2312" w:hAnsi="仿宋_GB2312" w:cs="仿宋_GB2312" w:eastAsia="仿宋_GB2312"/>
        </w:rPr>
        <w:t>8、民用无人驾驶航空器经营许可证或民用无人驾驶航空器运营合格证：民用无人驾驶航空器经营许可证或民用无人驾驶航空器运营合格证；</w:t>
      </w:r>
    </w:p>
    <w:p>
      <w:pPr>
        <w:pStyle w:val="null3"/>
      </w:pPr>
      <w:r>
        <w:rPr>
          <w:rFonts w:ascii="仿宋_GB2312" w:hAnsi="仿宋_GB2312" w:cs="仿宋_GB2312" w:eastAsia="仿宋_GB2312"/>
        </w:rPr>
        <w:t>9、信用截图：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根据财库【2019】38 号文规定，此项由采购人在磋商响应截止日当 天在“信用中国” 网站和中国政府采购网站进行查询，截图留档；如网站无供应商信息的，供应商须提供相关证明资料或书面声明）。</w:t>
      </w:r>
    </w:p>
    <w:p>
      <w:pPr>
        <w:pStyle w:val="null3"/>
      </w:pPr>
      <w:r>
        <w:rPr>
          <w:rFonts w:ascii="仿宋_GB2312" w:hAnsi="仿宋_GB2312" w:cs="仿宋_GB2312" w:eastAsia="仿宋_GB2312"/>
        </w:rPr>
        <w:t>10、控股关系查询：单位负责人为同一人或者存在直接控股、管理关系的不同供应商，不得参加同一合同项下的政府采购活动。(根据财库【2019】38号文规 定，此项由采购人在磋商响应截止日当天在“ 国家企业信用信息公示系统” 网站进行查询，截图留档；如网站无供应商信息的，供应商须提供相关证明资料或书面声明）。</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1、提供供应商合法注册的法人或其他组织的营业执照等证明文件、自然人的身份证明：提供供应商合法注册的法人或其他组织的营业执照等证明文件、自然人的身份证明。</w:t>
      </w:r>
    </w:p>
    <w:p>
      <w:pPr>
        <w:pStyle w:val="null3"/>
      </w:pPr>
      <w:r>
        <w:rPr>
          <w:rFonts w:ascii="仿宋_GB2312" w:hAnsi="仿宋_GB2312" w:cs="仿宋_GB2312" w:eastAsia="仿宋_GB2312"/>
        </w:rPr>
        <w:t>2、财务状况报告：财务状况报告：提供具有财务审计资质单位出具合法有效的2024年度财务报告（成立时间至开标时间不足一年的可提供成立后任意时段的资产负债表）或开标前六个月内其基本账户银行出具的资信证明或政府采购信用担保机构出具的担保函。</w:t>
      </w:r>
    </w:p>
    <w:p>
      <w:pPr>
        <w:pStyle w:val="null3"/>
      </w:pPr>
      <w:r>
        <w:rPr>
          <w:rFonts w:ascii="仿宋_GB2312" w:hAnsi="仿宋_GB2312" w:cs="仿宋_GB2312" w:eastAsia="仿宋_GB2312"/>
        </w:rPr>
        <w:t>3、税收缴纳证明：税收缴纳证明：提供2025年2月至今任意一个月的缴纳凭据（增值税、企业所得税至少一种）；（依法免税的供应商应提供相关文件证明）。</w:t>
      </w:r>
    </w:p>
    <w:p>
      <w:pPr>
        <w:pStyle w:val="null3"/>
      </w:pPr>
      <w:r>
        <w:rPr>
          <w:rFonts w:ascii="仿宋_GB2312" w:hAnsi="仿宋_GB2312" w:cs="仿宋_GB2312" w:eastAsia="仿宋_GB2312"/>
        </w:rPr>
        <w:t>4、社会保障资金缴纳证明：社会保障资金缴纳证明：提供2025年7月至今任意一个月的社保缴纳凭据或社保机构开具的社会保险参保缴纳情况证明；（依法不需要缴纳社会保障资金的供应商应提供相关证明）。</w:t>
      </w:r>
    </w:p>
    <w:p>
      <w:pPr>
        <w:pStyle w:val="null3"/>
      </w:pPr>
      <w:r>
        <w:rPr>
          <w:rFonts w:ascii="仿宋_GB2312" w:hAnsi="仿宋_GB2312" w:cs="仿宋_GB2312" w:eastAsia="仿宋_GB2312"/>
        </w:rPr>
        <w:t>5、提供具有履行本合同所必需的设备和专业技术能力的说明及承诺：提供具有履行本合同所必需的设备和专业技术能力的说明及承诺；（提供书面说明及承诺， 加盖供应商公章）。</w:t>
      </w:r>
    </w:p>
    <w:p>
      <w:pPr>
        <w:pStyle w:val="null3"/>
      </w:pPr>
      <w:r>
        <w:rPr>
          <w:rFonts w:ascii="仿宋_GB2312" w:hAnsi="仿宋_GB2312" w:cs="仿宋_GB2312" w:eastAsia="仿宋_GB2312"/>
        </w:rPr>
        <w:t>6、提供参加政府采购活动前三年内在经营活动中没有重大违法记录的书面声明：提供参加政府采购活动前三年内在经营活动中没有重大违法记录的书面声明。（提供书面声明，加盖供应商公章）。</w:t>
      </w:r>
    </w:p>
    <w:p>
      <w:pPr>
        <w:pStyle w:val="null3"/>
      </w:pPr>
      <w:r>
        <w:rPr>
          <w:rFonts w:ascii="仿宋_GB2312" w:hAnsi="仿宋_GB2312" w:cs="仿宋_GB2312" w:eastAsia="仿宋_GB2312"/>
        </w:rPr>
        <w:t>7、法定代表人授权委托书：法定代表人授权委托书（附法定代表人身份证复印件及被授权人身份证复印件）；法定代表人直接参加磋商提供法定代表人资格证明书（附法定代表人身份证复印件）；采购文件凡是法定代表人之处，非法人单位的负责人均参照执行；(式样见竞争性磋商响应文件格式)。</w:t>
      </w:r>
    </w:p>
    <w:p>
      <w:pPr>
        <w:pStyle w:val="null3"/>
      </w:pPr>
      <w:r>
        <w:rPr>
          <w:rFonts w:ascii="仿宋_GB2312" w:hAnsi="仿宋_GB2312" w:cs="仿宋_GB2312" w:eastAsia="仿宋_GB2312"/>
        </w:rPr>
        <w:t>8、民用无人驾驶航空器经营许可证或民用无人驾驶航空器运营合格证：民用无人驾驶航空器经营许可证或民用无人驾驶航空器运营合格证；</w:t>
      </w:r>
    </w:p>
    <w:p>
      <w:pPr>
        <w:pStyle w:val="null3"/>
      </w:pPr>
      <w:r>
        <w:rPr>
          <w:rFonts w:ascii="仿宋_GB2312" w:hAnsi="仿宋_GB2312" w:cs="仿宋_GB2312" w:eastAsia="仿宋_GB2312"/>
        </w:rPr>
        <w:t>9、信用截图：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根据财库【2019】38 号文规定，此项由采购人在磋商响应截止日当 天在“信用中国” 网站和中国政府采购网站进行查询，截图留档；如网站无供应商信息的，供应商须提供相关证明资料或书面声明）。</w:t>
      </w:r>
    </w:p>
    <w:p>
      <w:pPr>
        <w:pStyle w:val="null3"/>
      </w:pPr>
      <w:r>
        <w:rPr>
          <w:rFonts w:ascii="仿宋_GB2312" w:hAnsi="仿宋_GB2312" w:cs="仿宋_GB2312" w:eastAsia="仿宋_GB2312"/>
        </w:rPr>
        <w:t>10、控股关系查询：单位负责人为同一人或者存在直接控股、管理关系的不同供应商，不得参加同一合同项下的政府采购活动。(根据财库【2019】38号文规 定，此项由采购人在磋商响应截止日当天在“ 国家企业信用信息公示系统” 网站进行查询，截图留档；如网站无供应商信息的，供应商须提供相关证明资料或书面声明）。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西安市蓝田县农业技术推广中心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蓝田县北环路18号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710500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15229001951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陕西上德招标有限公司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西安市经开区凤城八路正尚国际金融广场A座7层703</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宋芳芳（4号工位）、王涛、魏蕾</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029-86673953、86518381转804</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蓝田县政府采购管理股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张 驰</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82721045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采购包1：200,000.00元</w:t>
            </w:r>
          </w:p>
          <w:p>
            <w:pPr>
              <w:pStyle w:val="null3"/>
            </w:pPr>
            <w:r>
              <w:rPr>
                <w:rFonts w:ascii="仿宋_GB2312" w:hAnsi="仿宋_GB2312" w:cs="仿宋_GB2312" w:eastAsia="仿宋_GB2312"/>
              </w:rPr>
              <w:t>采购包2：230,000.00元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收费标准参照原《国家计委关于印发&lt;招标代理服务收费管理暂行办法&gt;的通知》(计价格〔2002〕1980号)、《国家发展改革委关于降低部分建设项目收费标准规范收费行为等有关问题的通知》(发改价格〔2011〕534号)规定执行。 1.开户行名称：陕西上德招标有限公司 2.开 户 行：西安银行股份有限公司文景路支行 3.帐 号：7070 1151 0000 0135 22 4.西安银行文景路行号：313791000509 财务部联系方式： 029-86673953、029-86518381、029-89299829、029-89293231 转814或813 备注：投标人在汇款时须注明项目编号+项目简称</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西安市蓝田县农业技术推广中心</w:t>
      </w:r>
      <w:r>
        <w:rPr>
          <w:rFonts w:ascii="仿宋_GB2312" w:hAnsi="仿宋_GB2312" w:cs="仿宋_GB2312" w:eastAsia="仿宋_GB2312"/>
        </w:rPr>
        <w:t>和</w:t>
      </w:r>
      <w:r>
        <w:rPr>
          <w:rFonts w:ascii="仿宋_GB2312" w:hAnsi="仿宋_GB2312" w:cs="仿宋_GB2312" w:eastAsia="仿宋_GB2312"/>
        </w:rPr>
        <w:t>陕西上德招标有限公司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西安市蓝田县农业技术推广中心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陕西上德招标有限公司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西安市蓝田县农业技术推广中心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陕西上德招标有限公司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满足国家、省市相关规范要求（以最新版为准）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满足国家、省市相关规范要求（以最新版为准）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陕西上德招标有限公司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陕西上德招标有限公司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陕西上德招标有限公司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联系人：宋芳芳（4号工位）、王涛、魏蕾</w:t>
      </w:r>
    </w:p>
    <w:p>
      <w:pPr>
        <w:pStyle w:val="null3"/>
      </w:pPr>
      <w:r>
        <w:rPr>
          <w:rFonts w:ascii="仿宋_GB2312" w:hAnsi="仿宋_GB2312" w:cs="仿宋_GB2312" w:eastAsia="仿宋_GB2312"/>
        </w:rPr>
        <w:t>联系电话：029-86673953、86518381转804</w:t>
      </w:r>
    </w:p>
    <w:p>
      <w:pPr>
        <w:pStyle w:val="null3"/>
      </w:pPr>
      <w:r>
        <w:rPr>
          <w:rFonts w:ascii="仿宋_GB2312" w:hAnsi="仿宋_GB2312" w:cs="仿宋_GB2312" w:eastAsia="仿宋_GB2312"/>
        </w:rPr>
        <w:t>地址：西安市经开区凤城八路正尚国际金融广场A座7层703</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利用植保无人机开展小麦重大病虫害应急统防统治服务2.15万亩。小麦重大病虫害应急统防统治服务需满足植保无人机飞防作业相关技术要求，防效在85%以上。</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200,000.00</w:t>
      </w:r>
    </w:p>
    <w:p>
      <w:pPr>
        <w:pStyle w:val="null3"/>
      </w:pPr>
      <w:r>
        <w:rPr>
          <w:rFonts w:ascii="仿宋_GB2312" w:hAnsi="仿宋_GB2312" w:cs="仿宋_GB2312" w:eastAsia="仿宋_GB2312"/>
        </w:rPr>
        <w:t>采购包最高限价（元）: 200,000.00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应急统防统治面积1万亩</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农、林、牧、渔业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230,000.00</w:t>
      </w:r>
    </w:p>
    <w:p>
      <w:pPr>
        <w:pStyle w:val="null3"/>
      </w:pPr>
      <w:r>
        <w:rPr>
          <w:rFonts w:ascii="仿宋_GB2312" w:hAnsi="仿宋_GB2312" w:cs="仿宋_GB2312" w:eastAsia="仿宋_GB2312"/>
        </w:rPr>
        <w:t>采购包最高限价（元）: 230,000.00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应急统防统治面积1.15万亩</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230,000.00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农、林、牧、渔业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标的名称：应急统防统治面积1万亩</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rPr>
              <w:t>一、项目概况</w:t>
            </w:r>
          </w:p>
          <w:p>
            <w:pPr>
              <w:pStyle w:val="null3"/>
            </w:pPr>
            <w:r>
              <w:rPr>
                <w:rFonts w:ascii="仿宋_GB2312" w:hAnsi="仿宋_GB2312" w:cs="仿宋_GB2312" w:eastAsia="仿宋_GB2312"/>
              </w:rPr>
              <w:t>利用植保无人机开展小麦重大病虫害应急统防统治服务1万亩。小麦重大病虫害应急统防统治服务需满足植保无人机飞防作业相关技术要求，防效在85%以上。统防统治药剂需使用采购方要求的药剂组合，并根据药剂有效成分亩用量计算亩用药量。</w:t>
            </w:r>
          </w:p>
          <w:p>
            <w:pPr>
              <w:pStyle w:val="null3"/>
            </w:pPr>
            <w:r>
              <w:rPr>
                <w:rFonts w:ascii="仿宋_GB2312" w:hAnsi="仿宋_GB2312" w:cs="仿宋_GB2312" w:eastAsia="仿宋_GB2312"/>
              </w:rPr>
              <w:t>二、服务内容</w:t>
            </w:r>
          </w:p>
          <w:p>
            <w:pPr>
              <w:pStyle w:val="null3"/>
            </w:pPr>
            <w:r>
              <w:rPr>
                <w:rFonts w:ascii="仿宋_GB2312" w:hAnsi="仿宋_GB2312" w:cs="仿宋_GB2312" w:eastAsia="仿宋_GB2312"/>
              </w:rPr>
              <w:t>利用植保无人机开展小麦重大病虫害应急统防统治服务1万亩。</w:t>
            </w:r>
          </w:p>
          <w:p>
            <w:pPr>
              <w:pStyle w:val="null3"/>
            </w:pPr>
            <w:r>
              <w:rPr>
                <w:rFonts w:ascii="仿宋_GB2312" w:hAnsi="仿宋_GB2312" w:cs="仿宋_GB2312" w:eastAsia="仿宋_GB2312"/>
              </w:rPr>
              <w:t>一标段：应急统防统治面积1万亩</w:t>
            </w:r>
          </w:p>
          <w:p>
            <w:pPr>
              <w:pStyle w:val="null3"/>
            </w:pPr>
            <w:r>
              <w:rPr>
                <w:rFonts w:ascii="仿宋_GB2312" w:hAnsi="仿宋_GB2312" w:cs="仿宋_GB2312" w:eastAsia="仿宋_GB2312"/>
              </w:rPr>
              <w:t>1、防控药剂：唑醚·戊唑醇+联苯·噻虫嗪+磷酸二氢钾（膨化型或闪溶型）+航空喷雾助剂。</w:t>
            </w:r>
          </w:p>
          <w:p>
            <w:pPr>
              <w:pStyle w:val="null3"/>
            </w:pPr>
            <w:r>
              <w:rPr>
                <w:rFonts w:ascii="仿宋_GB2312" w:hAnsi="仿宋_GB2312" w:cs="仿宋_GB2312" w:eastAsia="仿宋_GB2312"/>
              </w:rPr>
              <w:t>2、药剂有效成分亩用量：</w:t>
            </w:r>
          </w:p>
          <w:p>
            <w:pPr>
              <w:pStyle w:val="null3"/>
            </w:pPr>
            <w:r>
              <w:rPr>
                <w:rFonts w:ascii="仿宋_GB2312" w:hAnsi="仿宋_GB2312" w:cs="仿宋_GB2312" w:eastAsia="仿宋_GB2312"/>
              </w:rPr>
              <w:t>杀菌剂：唑醚·戊唑醇≥8克。</w:t>
            </w:r>
          </w:p>
          <w:p>
            <w:pPr>
              <w:pStyle w:val="null3"/>
            </w:pPr>
            <w:r>
              <w:rPr>
                <w:rFonts w:ascii="仿宋_GB2312" w:hAnsi="仿宋_GB2312" w:cs="仿宋_GB2312" w:eastAsia="仿宋_GB2312"/>
              </w:rPr>
              <w:t>杀虫剂：联苯·噻虫嗪≥2克。</w:t>
            </w:r>
          </w:p>
          <w:p>
            <w:pPr>
              <w:pStyle w:val="null3"/>
            </w:pPr>
            <w:r>
              <w:rPr>
                <w:rFonts w:ascii="仿宋_GB2312" w:hAnsi="仿宋_GB2312" w:cs="仿宋_GB2312" w:eastAsia="仿宋_GB2312"/>
              </w:rPr>
              <w:t>叶面肥：磷酸二氢钾（膨化型或闪溶型）≥98克。</w:t>
            </w:r>
          </w:p>
          <w:p>
            <w:pPr>
              <w:pStyle w:val="null3"/>
            </w:pPr>
            <w:r>
              <w:rPr>
                <w:rFonts w:ascii="仿宋_GB2312" w:hAnsi="仿宋_GB2312" w:cs="仿宋_GB2312" w:eastAsia="仿宋_GB2312"/>
              </w:rPr>
              <w:t>助  剂：航空喷雾助剂≥10克。</w:t>
            </w:r>
          </w:p>
          <w:p>
            <w:pPr>
              <w:pStyle w:val="null3"/>
            </w:pPr>
            <w:r>
              <w:rPr>
                <w:rFonts w:ascii="仿宋_GB2312" w:hAnsi="仿宋_GB2312" w:cs="仿宋_GB2312" w:eastAsia="仿宋_GB2312"/>
              </w:rPr>
              <w:t>注：本章节内容为实质性内容，不得负偏离。</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标的名称：应急统防统治面积1.15万亩</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一、项目概况</w:t>
            </w:r>
          </w:p>
          <w:p>
            <w:pPr>
              <w:pStyle w:val="null3"/>
            </w:pPr>
            <w:r>
              <w:rPr>
                <w:rFonts w:ascii="仿宋_GB2312" w:hAnsi="仿宋_GB2312" w:cs="仿宋_GB2312" w:eastAsia="仿宋_GB2312"/>
              </w:rPr>
              <w:t>利用植保无人机开展小麦重大病虫害应急统防统治服务1.15万亩。小麦重大病虫害应急统防统治服务需满足植保无人机飞防作业相关技术要求，防效在85%以上。统防统治药剂需使用采购方要求的药剂组合，并根据药剂有效成分亩用量计算亩用药量。</w:t>
            </w:r>
          </w:p>
          <w:p>
            <w:pPr>
              <w:pStyle w:val="null3"/>
            </w:pPr>
            <w:r>
              <w:rPr>
                <w:rFonts w:ascii="仿宋_GB2312" w:hAnsi="仿宋_GB2312" w:cs="仿宋_GB2312" w:eastAsia="仿宋_GB2312"/>
              </w:rPr>
              <w:t>二、服务内容</w:t>
            </w:r>
          </w:p>
          <w:p>
            <w:pPr>
              <w:pStyle w:val="null3"/>
            </w:pPr>
            <w:r>
              <w:rPr>
                <w:rFonts w:ascii="仿宋_GB2312" w:hAnsi="仿宋_GB2312" w:cs="仿宋_GB2312" w:eastAsia="仿宋_GB2312"/>
              </w:rPr>
              <w:t>利用植保无人机开展小麦重大病虫害应急统防统治服务1.15万亩。</w:t>
            </w:r>
          </w:p>
          <w:p>
            <w:pPr>
              <w:pStyle w:val="null3"/>
            </w:pPr>
            <w:r>
              <w:rPr>
                <w:rFonts w:ascii="仿宋_GB2312" w:hAnsi="仿宋_GB2312" w:cs="仿宋_GB2312" w:eastAsia="仿宋_GB2312"/>
              </w:rPr>
              <w:t>二标段：应急统防统治面积1.15万亩</w:t>
            </w:r>
          </w:p>
          <w:p>
            <w:pPr>
              <w:pStyle w:val="null3"/>
            </w:pPr>
            <w:r>
              <w:rPr>
                <w:rFonts w:ascii="仿宋_GB2312" w:hAnsi="仿宋_GB2312" w:cs="仿宋_GB2312" w:eastAsia="仿宋_GB2312"/>
              </w:rPr>
              <w:t>1、防控药剂：丙硫菌唑•戊唑醇+甲维·高氯氟+含氨基酸水溶肥料+航空喷雾助剂。</w:t>
            </w:r>
          </w:p>
          <w:p>
            <w:pPr>
              <w:pStyle w:val="null3"/>
            </w:pPr>
            <w:r>
              <w:rPr>
                <w:rFonts w:ascii="仿宋_GB2312" w:hAnsi="仿宋_GB2312" w:cs="仿宋_GB2312" w:eastAsia="仿宋_GB2312"/>
              </w:rPr>
              <w:t>2、药剂有效成分亩用量：</w:t>
            </w:r>
          </w:p>
          <w:p>
            <w:pPr>
              <w:pStyle w:val="null3"/>
            </w:pPr>
            <w:r>
              <w:rPr>
                <w:rFonts w:ascii="仿宋_GB2312" w:hAnsi="仿宋_GB2312" w:cs="仿宋_GB2312" w:eastAsia="仿宋_GB2312"/>
              </w:rPr>
              <w:t>杀菌剂：丙硫菌唑•戊唑醇≥12克。</w:t>
            </w:r>
          </w:p>
          <w:p>
            <w:pPr>
              <w:pStyle w:val="null3"/>
            </w:pPr>
            <w:r>
              <w:rPr>
                <w:rFonts w:ascii="仿宋_GB2312" w:hAnsi="仿宋_GB2312" w:cs="仿宋_GB2312" w:eastAsia="仿宋_GB2312"/>
              </w:rPr>
              <w:t>杀虫剂：甲维·高氯氟≥1克。</w:t>
            </w:r>
          </w:p>
          <w:p>
            <w:pPr>
              <w:pStyle w:val="null3"/>
            </w:pPr>
            <w:r>
              <w:rPr>
                <w:rFonts w:ascii="仿宋_GB2312" w:hAnsi="仿宋_GB2312" w:cs="仿宋_GB2312" w:eastAsia="仿宋_GB2312"/>
              </w:rPr>
              <w:t>叶面肥：含氨基酸水溶肥料≥50克。</w:t>
            </w:r>
          </w:p>
          <w:p>
            <w:pPr>
              <w:pStyle w:val="null3"/>
            </w:pPr>
            <w:r>
              <w:rPr>
                <w:rFonts w:ascii="仿宋_GB2312" w:hAnsi="仿宋_GB2312" w:cs="仿宋_GB2312" w:eastAsia="仿宋_GB2312"/>
              </w:rPr>
              <w:t>助  剂：航空喷雾助剂≥10克。</w:t>
            </w:r>
          </w:p>
          <w:p>
            <w:pPr>
              <w:pStyle w:val="null3"/>
            </w:pPr>
            <w:r>
              <w:rPr>
                <w:rFonts w:ascii="仿宋_GB2312" w:hAnsi="仿宋_GB2312" w:cs="仿宋_GB2312" w:eastAsia="仿宋_GB2312"/>
              </w:rPr>
              <w:t>注：本章节内容为实质性内容，不得负偏离。</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根据项目情况按需配置</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根据项目情况按需配置</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根据项目情况按需配置</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根据项目情况按需配置</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服务要求 1、乙方利用植保无人机对甲方指定的区域进行病虫害专业化统防统治作业。 2、乙方使用的药剂必须适宜航化作业，对作物、人员、环境安全。 3、防治作业中产生的其它费用由乙方承担。 4、作业期间，乙方务必邀请甲方对作业质量进行监督，确保防治效果。 5、通过项目实施，农作物重大病虫疫情监测预警准确率达85%以上。 6、统防统治药剂需使用采购方要求的药剂组合，并根据药剂有效成分亩用量计算亩用药量。</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服务要求 1、乙方利用植保无人机对甲方指定的区域进行病虫害专业化统防统治作业。 2、乙方使用的药剂必须适宜航化作业，对作物、人员、环境安全。 3、防治作业中产生的其它费用由乙方承担。 4、作业期间，乙方务必邀请甲方对作业质量进行监督，确保防治效果。 5、通过项目实施，农作物重大病虫疫情监测预警准确率达85%以上。 6、统防统治药剂需使用采购方要求的药剂组合，并根据药剂有效成分亩用量计算亩用药量。</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服务时间：2026年3-5月份，具体时间地点由甲方根据小麦重大病虫害实际发生危害情况确定。</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服务时间：2026年3-5月份，具体时间地点由甲方根据小麦重大病虫害实际发生危害情况确定。</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蓝田县境内（蓝田县农业技术推广中心指定地点）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蓝田县境内（蓝田县农业技术推广中心指定地点）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满足国家、省市相关规范要求（以最新版为准）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满足国家、省市相关规范要求（以最新版为准）</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专项资金到位后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专项资金到位后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甲方违约责任： 1、由于甲方的原因或因不可抗力的自然因素影响，则服务周期顺延。 2、对于乙方提供的资料以及属于 乙方的内容，甲方有义务保密，不得向第三方提供或用于本合同以外的项目，否则乙方有权要求甲方按本合同项目款总额的 20%赔偿损失。 乙方违约责任： 1、合同签订后，如乙方擅自中途停止或解除合同，乙方应向甲方双倍返还定金。没有约定 定金的，乙方向甲方赔偿服务价款。 2、在甲方提供了必要的工作、生活条件，并且保证了项目款按时到位，乙方未能按合同 规定的日期提供服务时，应向甲方赔偿拖期损失费，每天的拖期损失费按合同约定的项目总价款。 3、因天气、交通、政府行 为、甲方提供的资料不准确等客观原因造成的服务周期拖期，乙方不承担赔偿责任。 4、服务实施过程中，乙方未按竞争性磋 商响应文件约定配备服务人员或乙方派驻服务力量无法胜任项目实施要求的，甲方有权提出增加人员和充实技术力量，乙方应 立即安排实施，其费用被认为已含在合同价格之中。如乙方拒绝增加人员或充实技术力量，甲方有权利解除合同，乙方应承担 由此给甲方造成的经济损失。 5、乙方有责任按甲方要求提交项目资料。如乙方未能按规定的服务周期提供服务，每延误一 天，应付逾期违约金人民币（但由于受天气等不可抗力的自然因素影响，则工期顺延），逾期10天以上的，甲方除有权终止 履行合同外，乙方应承担因延期造成的损失。同时，甲方有权根据乙方所承担服务的质量是否符合要求而对服务的内容进行调整。 6、乙方提供的服务质量不合格的，乙方应负责无偿予以采取补救措施，以达到质量要求。因服务最终不符合合同要求 （而又非甲方提供的资料原因所致）造成后果时，乙方应对因此造成的直接损失负赔偿责任，并承担相应的法律责任（由于甲 方提供的资料原因产生的责任由甲方自己负责）。 7、在合同期内和合同终止后，乙方应负责所有资料的保密，非经甲方书面 认可，不得向任何人以任何方式提供任何资料。严格按甲方要求程序传递各种资料，否则甲方有权单方解除合同，并追回所付 项目款。 8、乙方不得将本项目的任何部分转包或分包给其他任何单位和个人。若擅自转包或分包本合同标的，甲方有权解除 合同，并可要求乙方偿付预算30%的违约金，同时追究其法律责任。</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甲方违约责任： 1、由于甲方的原因或因不可抗力的自然因素影响，则服务周期顺延。 2、对于乙方提供的资料以及属于 乙方的内容，甲方有义务保密，不得向第三方提供或用于本合同以外的项目，否则乙方有权要求甲方按本合同项目款总额的 20%赔偿损失。 乙方违约责任： 1、合同签订后，如乙方擅自中途停止或解除合同，乙方应向甲方双倍返还定金。没有约定 定金的，乙方向甲方赔偿服务价款。 2、在甲方提供了必要的工作、生活条件，并且保证了项目款按时到位，乙方未能按合同 规定的日期提供服务时，应向甲方赔偿拖期损失费，每天的拖期损失费按合同约定的项目总价款。 3、因天气、交通、政府行 为、甲方提供的资料不准确等客观原因造成的服务周期拖期，乙方不承担赔偿责任。 4、服务实施过程中，乙方未按竞争性磋 商响应文件约定配备服务人员或乙方派驻服务力量无法胜任项目实施要求的，甲方有权提出增加人员和充实技术力量，乙方应 立即安排实施，其费用被认为已含在合同价格之中。如乙方拒绝增加人员或充实技术力量，甲方有权利解除合同，乙方应承担 由此给甲方造成的经济损失。 5、乙方有责任按甲方要求提交项目资料。如乙方未能按规定的服务周期提供服务，每延误一 天，应付逾期违约金人民币（但由于受天气等不可抗力的自然因素影响，则工期顺延），逾期10天以上的，甲方除有权终止 履行合同外，乙方应承担因延期造成的损失。同时，甲方有权根据乙方所承担服务的质量是否符合要求而对服务的内容进行调整。 6、乙方提供的服务质量不合格的，乙方应负责无偿予以采取补救措施，以达到质量要求。因服务最终不符合合同要求 （而又非甲方提供的资料原因所致）造成后果时，乙方应对因此造成的直接损失负赔偿责任，并承担相应的法律责任（由于甲 方提供的资料原因产生的责任由甲方自己负责）。 7、在合同期内和合同终止后，乙方应负责所有资料的保密，非经甲方书面 认可，不得向任何人以任何方式提供任何资料。严格按甲方要求程序传递各种资料，否则甲方有权单方解除合同，并追回所付 项目款。 8、乙方不得将本项目的任何部分转包或分包给其他任何单位和个人。若擅自转包或分包本合同标的，甲方有权解除 合同，并可要求乙方偿付预算30%的违约金，同时追究其法律责任。</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领取成交通知书时，提供一正两副纸质版磋商响应文件。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供应商需在项目电子化交易系统中按要求上传相应证明文件并进行电子签章，此项审查内容与“财务状况报告”为同一审查内容。</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供应商需在项目电子化交易系统中按要求上传相应证明文件并进行电子签章，此项审查内容与“控股关系查询”为同一审查内容。</w:t>
            </w:r>
          </w:p>
        </w:tc>
        <w:tc>
          <w:tcPr>
            <w:tcW w:type="dxa" w:w="1661"/>
          </w:tcPr>
          <w:p>
            <w:pPr>
              <w:pStyle w:val="null3"/>
            </w:pPr>
            <w:r>
              <w:rPr>
                <w:rFonts w:ascii="仿宋_GB2312" w:hAnsi="仿宋_GB2312" w:cs="仿宋_GB2312" w:eastAsia="仿宋_GB2312"/>
              </w:rPr>
              <w:t>响应函 资格证明文件.docx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供应商需在项目电子化交易系统中按要求上传相应证明文件并进行电子签章，此项审查内容与“财务状况报告”为同一审查内容。</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供应商需在项目电子化交易系统中按要求上传相应证明文件并进行电子签章，此项审查内容与“控股关系查询”为同一审查内容。</w:t>
            </w:r>
          </w:p>
        </w:tc>
        <w:tc>
          <w:tcPr>
            <w:tcW w:type="dxa" w:w="1661"/>
          </w:tcPr>
          <w:p>
            <w:pPr>
              <w:pStyle w:val="null3"/>
            </w:pPr>
            <w:r>
              <w:rPr>
                <w:rFonts w:ascii="仿宋_GB2312" w:hAnsi="仿宋_GB2312" w:cs="仿宋_GB2312" w:eastAsia="仿宋_GB2312"/>
              </w:rPr>
              <w:t>响应函 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提供供应商合法注册的法人或其他组织的营业执照等证明文件、自然人的身份证明</w:t>
            </w:r>
          </w:p>
        </w:tc>
        <w:tc>
          <w:tcPr>
            <w:tcW w:type="dxa" w:w="3322"/>
          </w:tcPr>
          <w:p>
            <w:pPr>
              <w:pStyle w:val="null3"/>
            </w:pPr>
            <w:r>
              <w:rPr>
                <w:rFonts w:ascii="仿宋_GB2312" w:hAnsi="仿宋_GB2312" w:cs="仿宋_GB2312" w:eastAsia="仿宋_GB2312"/>
              </w:rPr>
              <w:t>提供供应商合法注册的法人或其他组织的营业执照等证明文件、自然人的身份证明。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财务状况报告：提供具有财务审计资质单位出具合法有效的2024年度财务报告（成立时间至开标时间不足一年的可提供成立后任意时段的资产负债表）或开标前六个月内其基本账户银行出具的资信证明或政府采购信用担保机构出具的担保函。</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税收缴纳证明：提供2025年2月至今任意一个月的缴纳凭据（增值税、企业所得税至少一种）；（依法免税的供应商应提供相关文件证明）。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社会保障资金缴纳证明：提供2025年7月至今任意一个月的社保缴纳凭据或社保机构开具的社会保险参保缴纳情况证明；（依法不需要缴纳社会保障资金的供应商应提供相关证明）。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提供具有履行本合同所必需的设备和专业技术能力的说明及承诺</w:t>
            </w:r>
          </w:p>
        </w:tc>
        <w:tc>
          <w:tcPr>
            <w:tcW w:type="dxa" w:w="3322"/>
          </w:tcPr>
          <w:p>
            <w:pPr>
              <w:pStyle w:val="null3"/>
            </w:pPr>
            <w:r>
              <w:rPr>
                <w:rFonts w:ascii="仿宋_GB2312" w:hAnsi="仿宋_GB2312" w:cs="仿宋_GB2312" w:eastAsia="仿宋_GB2312"/>
              </w:rPr>
              <w:t>提供具有履行本合同所必需的设备和专业技术能力的说明及承诺；（提供书面说明及承诺， 加盖供应商公章）。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提供参加政府采购活动前三年内在经营活动中没有重大违法记录的书面声明。（提供书面声明，加盖供应商公章）。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授权委托书（附法定代表人身份证复印件及被授权人身份证复印件）；法定代表人直接参加磋商提供法定代表人资格证明书（附法定代表人身份证复印件）；采购文件凡是法定代表人之处，非法人单位的负责人均参照执行；(式样见竞争性磋商响应文件格式)。</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民用无人驾驶航空器经营许可证或民用无人驾驶航空器运营合格证</w:t>
            </w:r>
          </w:p>
        </w:tc>
        <w:tc>
          <w:tcPr>
            <w:tcW w:type="dxa" w:w="3322"/>
          </w:tcPr>
          <w:p>
            <w:pPr>
              <w:pStyle w:val="null3"/>
            </w:pPr>
            <w:r>
              <w:rPr>
                <w:rFonts w:ascii="仿宋_GB2312" w:hAnsi="仿宋_GB2312" w:cs="仿宋_GB2312" w:eastAsia="仿宋_GB2312"/>
              </w:rPr>
              <w:t>民用无人驾驶航空器经营许可证或民用无人驾驶航空器运营合格证；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信用截图</w:t>
            </w:r>
          </w:p>
        </w:tc>
        <w:tc>
          <w:tcPr>
            <w:tcW w:type="dxa" w:w="3322"/>
          </w:tcPr>
          <w:p>
            <w:pPr>
              <w:pStyle w:val="null3"/>
            </w:pPr>
            <w:r>
              <w:rPr>
                <w:rFonts w:ascii="仿宋_GB2312" w:hAnsi="仿宋_GB2312" w:cs="仿宋_GB2312" w:eastAsia="仿宋_GB2312"/>
              </w:rPr>
              <w:t>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根据财库【2019】38 号文规定，此项由采购人在磋商响应截止日当 天在“信用中国” 网站和中国政府采购网站进行查询，截图留档；如网站无供应商信息的，供应商须提供相关证明资料或书面声明）。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控股关系查询</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单位负责人为同一人或者存在直接控股、管理关系的不同供应商，不得参加同一合同项下的政府采购活动。(根据财库【2019】38号文规 定，此项由采购人在磋商响应截止日当天在“ 国家企业信用信息公示系统” 网站进行查询，截图留档；如网站无供应商信息的，供应商须提供相关证明资料或书面声明）。</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提供供应商合法注册的法人或其他组织的营业执照等证明文件、自然人的身份证明</w:t>
            </w:r>
          </w:p>
        </w:tc>
        <w:tc>
          <w:tcPr>
            <w:tcW w:type="dxa" w:w="3322"/>
          </w:tcPr>
          <w:p>
            <w:pPr>
              <w:pStyle w:val="null3"/>
            </w:pPr>
            <w:r>
              <w:rPr>
                <w:rFonts w:ascii="仿宋_GB2312" w:hAnsi="仿宋_GB2312" w:cs="仿宋_GB2312" w:eastAsia="仿宋_GB2312"/>
              </w:rPr>
              <w:t>提供供应商合法注册的法人或其他组织的营业执照等证明文件、自然人的身份证明。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财务状况报告：提供具有财务审计资质单位出具合法有效的2024年度财务报告（成立时间至开标时间不足一年的可提供成立后任意时段的资产负债表）或开标前六个月内其基本账户银行出具的资信证明或政府采购信用担保机构出具的担保函。</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税收缴纳证明：提供2025年2月至今任意一个月的缴纳凭据（增值税、企业所得税至少一种）；（依法免税的供应商应提供相关文件证明）。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社会保障资金缴纳证明：提供2025年7月至今任意一个月的社保缴纳凭据或社保机构开具的社会保险参保缴纳情况证明；（依法不需要缴纳社会保障资金的供应商应提供相关证明）。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提供具有履行本合同所必需的设备和专业技术能力的说明及承诺</w:t>
            </w:r>
          </w:p>
        </w:tc>
        <w:tc>
          <w:tcPr>
            <w:tcW w:type="dxa" w:w="3322"/>
          </w:tcPr>
          <w:p>
            <w:pPr>
              <w:pStyle w:val="null3"/>
            </w:pPr>
            <w:r>
              <w:rPr>
                <w:rFonts w:ascii="仿宋_GB2312" w:hAnsi="仿宋_GB2312" w:cs="仿宋_GB2312" w:eastAsia="仿宋_GB2312"/>
              </w:rPr>
              <w:t>提供具有履行本合同所必需的设备和专业技术能力的说明及承诺；（提供书面说明及承诺， 加盖供应商公章）。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提供参加政府采购活动前三年内在经营活动中没有重大违法记录的书面声明。（提供书面声明，加盖供应商公章）。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授权委托书（附法定代表人身份证复印件及被授权人身份证复印件）；法定代表人直接参加磋商提供法定代表人资格证明书（附法定代表人身份证复印件）；采购文件凡是法定代表人之处，非法人单位的负责人均参照执行；(式样见竞争性磋商响应文件格式)。</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民用无人驾驶航空器经营许可证或民用无人驾驶航空器运营合格证</w:t>
            </w:r>
          </w:p>
        </w:tc>
        <w:tc>
          <w:tcPr>
            <w:tcW w:type="dxa" w:w="3322"/>
          </w:tcPr>
          <w:p>
            <w:pPr>
              <w:pStyle w:val="null3"/>
            </w:pPr>
            <w:r>
              <w:rPr>
                <w:rFonts w:ascii="仿宋_GB2312" w:hAnsi="仿宋_GB2312" w:cs="仿宋_GB2312" w:eastAsia="仿宋_GB2312"/>
              </w:rPr>
              <w:t>民用无人驾驶航空器经营许可证或民用无人驾驶航空器运营合格证；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信用截图</w:t>
            </w:r>
          </w:p>
        </w:tc>
        <w:tc>
          <w:tcPr>
            <w:tcW w:type="dxa" w:w="3322"/>
          </w:tcPr>
          <w:p>
            <w:pPr>
              <w:pStyle w:val="null3"/>
            </w:pPr>
            <w:r>
              <w:rPr>
                <w:rFonts w:ascii="仿宋_GB2312" w:hAnsi="仿宋_GB2312" w:cs="仿宋_GB2312" w:eastAsia="仿宋_GB2312"/>
              </w:rPr>
              <w:t>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根据财库【2019】38 号文规定，此项由采购人在磋商响应截止日当 天在“信用中国” 网站和中国政府采购网站进行查询，截图留档；如网站无供应商信息的，供应商须提供相关证明资料或书面声明）。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控股关系查询</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单位负责人为同一人或者存在直接控股、管理关系的不同供应商，不得参加同一合同项下的政府采购活动。(根据财库【2019】38号文规 定，此项由采购人在磋商响应截止日当天在“ 国家企业信用信息公示系统” 网站进行查询，截图留档；如网站无供应商信息的，供应商须提供相关证明资料或书面声明）。</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盖章、签字</w:t>
            </w:r>
          </w:p>
        </w:tc>
        <w:tc>
          <w:tcPr>
            <w:tcW w:type="dxa" w:w="3322"/>
          </w:tcPr>
          <w:p>
            <w:pPr>
              <w:pStyle w:val="null3"/>
            </w:pPr>
            <w:r>
              <w:rPr>
                <w:rFonts w:ascii="仿宋_GB2312" w:hAnsi="仿宋_GB2312" w:cs="仿宋_GB2312" w:eastAsia="仿宋_GB2312"/>
              </w:rPr>
              <w:t>磋商响应文件按照磋商文件的要求盖章、签字</w:t>
            </w:r>
          </w:p>
        </w:tc>
        <w:tc>
          <w:tcPr>
            <w:tcW w:type="dxa" w:w="1661"/>
          </w:tcPr>
          <w:p>
            <w:pPr>
              <w:pStyle w:val="null3"/>
            </w:pPr>
            <w:r>
              <w:rPr>
                <w:rFonts w:ascii="仿宋_GB2312" w:hAnsi="仿宋_GB2312" w:cs="仿宋_GB2312" w:eastAsia="仿宋_GB2312"/>
              </w:rPr>
              <w:t>被授权人承诺书.docx 中小企业声明函 分项报价.docx 商务条款响应偏离表.docx 服务条款响应偏离表.docx 法定代表人授权书.docx 响应文件封面 《拒绝政府采购领域商业贿赂承诺书》.docx 残疾人福利性单位声明函 供应商参与政府采购活动的承诺函.docx 标的清单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磋商报价未超过采购预算</w:t>
            </w:r>
          </w:p>
        </w:tc>
        <w:tc>
          <w:tcPr>
            <w:tcW w:type="dxa" w:w="1661"/>
          </w:tcPr>
          <w:p>
            <w:pPr>
              <w:pStyle w:val="null3"/>
            </w:pPr>
            <w:r>
              <w:rPr>
                <w:rFonts w:ascii="仿宋_GB2312" w:hAnsi="仿宋_GB2312" w:cs="仿宋_GB2312" w:eastAsia="仿宋_GB2312"/>
              </w:rPr>
              <w:t>标的清单 分项报价.docx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磋商有效期符合磋商文件的要求</w:t>
            </w:r>
          </w:p>
        </w:tc>
        <w:tc>
          <w:tcPr>
            <w:tcW w:type="dxa" w:w="1661"/>
          </w:tcPr>
          <w:p>
            <w:pPr>
              <w:pStyle w:val="null3"/>
            </w:pPr>
            <w:r>
              <w:rPr>
                <w:rFonts w:ascii="仿宋_GB2312" w:hAnsi="仿宋_GB2312" w:cs="仿宋_GB2312" w:eastAsia="仿宋_GB2312"/>
              </w:rPr>
              <w:t>响应函 法定代表人授权书.docx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对磋商文件商务要求、服务要求作出明确响应</w:t>
            </w:r>
          </w:p>
        </w:tc>
        <w:tc>
          <w:tcPr>
            <w:tcW w:type="dxa" w:w="3322"/>
          </w:tcPr>
          <w:p>
            <w:pPr>
              <w:pStyle w:val="null3"/>
            </w:pPr>
            <w:r>
              <w:rPr>
                <w:rFonts w:ascii="仿宋_GB2312" w:hAnsi="仿宋_GB2312" w:cs="仿宋_GB2312" w:eastAsia="仿宋_GB2312"/>
              </w:rPr>
              <w:t>对磋商文件商务要求作出明确响应；对磋商文件服务要求作出明确响应，对不得偏离的要求作了实质性响应</w:t>
            </w:r>
          </w:p>
        </w:tc>
        <w:tc>
          <w:tcPr>
            <w:tcW w:type="dxa" w:w="1661"/>
          </w:tcPr>
          <w:p>
            <w:pPr>
              <w:pStyle w:val="null3"/>
            </w:pPr>
            <w:r>
              <w:rPr>
                <w:rFonts w:ascii="仿宋_GB2312" w:hAnsi="仿宋_GB2312" w:cs="仿宋_GB2312" w:eastAsia="仿宋_GB2312"/>
              </w:rPr>
              <w:t>商务条款响应偏离表.docx 服务条款响应偏离表.docx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磋商响应文件无采购人不能接受的附加条件</w:t>
            </w:r>
          </w:p>
        </w:tc>
        <w:tc>
          <w:tcPr>
            <w:tcW w:type="dxa" w:w="3322"/>
          </w:tcPr>
          <w:p>
            <w:pPr>
              <w:pStyle w:val="null3"/>
            </w:pPr>
            <w:r>
              <w:rPr>
                <w:rFonts w:ascii="仿宋_GB2312" w:hAnsi="仿宋_GB2312" w:cs="仿宋_GB2312" w:eastAsia="仿宋_GB2312"/>
              </w:rPr>
              <w:t>磋商响应文件无采购人不能接受的附加条件</w:t>
            </w:r>
          </w:p>
        </w:tc>
        <w:tc>
          <w:tcPr>
            <w:tcW w:type="dxa" w:w="1661"/>
          </w:tcPr>
          <w:p>
            <w:pPr>
              <w:pStyle w:val="null3"/>
            </w:pPr>
            <w:r>
              <w:rPr>
                <w:rFonts w:ascii="仿宋_GB2312" w:hAnsi="仿宋_GB2312" w:cs="仿宋_GB2312" w:eastAsia="仿宋_GB2312"/>
              </w:rPr>
              <w:t>供应商认为有必要补充说明的事宜.docx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法律、法规和磋商文件规定的其他无效响应情形</w:t>
            </w:r>
          </w:p>
        </w:tc>
        <w:tc>
          <w:tcPr>
            <w:tcW w:type="dxa" w:w="3322"/>
          </w:tcPr>
          <w:p>
            <w:pPr>
              <w:pStyle w:val="null3"/>
            </w:pPr>
            <w:r>
              <w:rPr>
                <w:rFonts w:ascii="仿宋_GB2312" w:hAnsi="仿宋_GB2312" w:cs="仿宋_GB2312" w:eastAsia="仿宋_GB2312"/>
              </w:rPr>
              <w:t>无法律、法规和磋商文件规定的其他无效响应情形</w:t>
            </w:r>
          </w:p>
        </w:tc>
        <w:tc>
          <w:tcPr>
            <w:tcW w:type="dxa" w:w="1661"/>
          </w:tcPr>
          <w:p>
            <w:pPr>
              <w:pStyle w:val="null3"/>
            </w:pPr>
            <w:r>
              <w:rPr>
                <w:rFonts w:ascii="仿宋_GB2312" w:hAnsi="仿宋_GB2312" w:cs="仿宋_GB2312" w:eastAsia="仿宋_GB2312"/>
              </w:rPr>
              <w:t>供应商认为有必要补充说明的事宜.docx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盖章、签字</w:t>
            </w:r>
          </w:p>
        </w:tc>
        <w:tc>
          <w:tcPr>
            <w:tcW w:type="dxa" w:w="3322"/>
          </w:tcPr>
          <w:p>
            <w:pPr>
              <w:pStyle w:val="null3"/>
            </w:pPr>
            <w:r>
              <w:rPr>
                <w:rFonts w:ascii="仿宋_GB2312" w:hAnsi="仿宋_GB2312" w:cs="仿宋_GB2312" w:eastAsia="仿宋_GB2312"/>
              </w:rPr>
              <w:t>磋商响应文件按照磋商文件的要求盖章、签字</w:t>
            </w:r>
          </w:p>
        </w:tc>
        <w:tc>
          <w:tcPr>
            <w:tcW w:type="dxa" w:w="1661"/>
          </w:tcPr>
          <w:p>
            <w:pPr>
              <w:pStyle w:val="null3"/>
            </w:pPr>
            <w:r>
              <w:rPr>
                <w:rFonts w:ascii="仿宋_GB2312" w:hAnsi="仿宋_GB2312" w:cs="仿宋_GB2312" w:eastAsia="仿宋_GB2312"/>
              </w:rPr>
              <w:t>被授权人承诺书.docx 中小企业声明函 分项报价.docx 商务条款响应偏离表.docx 服务条款响应偏离表.docx 法定代表人授权书.docx 响应文件封面 《拒绝政府采购领域商业贿赂承诺书》.docx 残疾人福利性单位声明函 供应商参与政府采购活动的承诺函.docx 标的清单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磋商报价未超过采购预算</w:t>
            </w:r>
          </w:p>
        </w:tc>
        <w:tc>
          <w:tcPr>
            <w:tcW w:type="dxa" w:w="1661"/>
          </w:tcPr>
          <w:p>
            <w:pPr>
              <w:pStyle w:val="null3"/>
            </w:pPr>
            <w:r>
              <w:rPr>
                <w:rFonts w:ascii="仿宋_GB2312" w:hAnsi="仿宋_GB2312" w:cs="仿宋_GB2312" w:eastAsia="仿宋_GB2312"/>
              </w:rPr>
              <w:t>标的清单 分项报价.docx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磋商有效期符合磋商文件的要求</w:t>
            </w:r>
          </w:p>
        </w:tc>
        <w:tc>
          <w:tcPr>
            <w:tcW w:type="dxa" w:w="1661"/>
          </w:tcPr>
          <w:p>
            <w:pPr>
              <w:pStyle w:val="null3"/>
            </w:pPr>
            <w:r>
              <w:rPr>
                <w:rFonts w:ascii="仿宋_GB2312" w:hAnsi="仿宋_GB2312" w:cs="仿宋_GB2312" w:eastAsia="仿宋_GB2312"/>
              </w:rPr>
              <w:t>响应函 法定代表人授权书.docx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对磋商文件商务要求、服务要求作出明确响应</w:t>
            </w:r>
          </w:p>
        </w:tc>
        <w:tc>
          <w:tcPr>
            <w:tcW w:type="dxa" w:w="3322"/>
          </w:tcPr>
          <w:p>
            <w:pPr>
              <w:pStyle w:val="null3"/>
            </w:pPr>
            <w:r>
              <w:rPr>
                <w:rFonts w:ascii="仿宋_GB2312" w:hAnsi="仿宋_GB2312" w:cs="仿宋_GB2312" w:eastAsia="仿宋_GB2312"/>
              </w:rPr>
              <w:t>对磋商文件商务要求作出明确响应；对磋商文件服务要求作出明确响应，对不得偏离的要求作了实质性响应</w:t>
            </w:r>
          </w:p>
        </w:tc>
        <w:tc>
          <w:tcPr>
            <w:tcW w:type="dxa" w:w="1661"/>
          </w:tcPr>
          <w:p>
            <w:pPr>
              <w:pStyle w:val="null3"/>
            </w:pPr>
            <w:r>
              <w:rPr>
                <w:rFonts w:ascii="仿宋_GB2312" w:hAnsi="仿宋_GB2312" w:cs="仿宋_GB2312" w:eastAsia="仿宋_GB2312"/>
              </w:rPr>
              <w:t>商务条款响应偏离表.docx 服务条款响应偏离表.docx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磋商响应文件无采购人不能接受的附加条件</w:t>
            </w:r>
          </w:p>
        </w:tc>
        <w:tc>
          <w:tcPr>
            <w:tcW w:type="dxa" w:w="3322"/>
          </w:tcPr>
          <w:p>
            <w:pPr>
              <w:pStyle w:val="null3"/>
            </w:pPr>
            <w:r>
              <w:rPr>
                <w:rFonts w:ascii="仿宋_GB2312" w:hAnsi="仿宋_GB2312" w:cs="仿宋_GB2312" w:eastAsia="仿宋_GB2312"/>
              </w:rPr>
              <w:t>磋商响应文件无采购人不能接受的附加条件</w:t>
            </w:r>
          </w:p>
        </w:tc>
        <w:tc>
          <w:tcPr>
            <w:tcW w:type="dxa" w:w="1661"/>
          </w:tcPr>
          <w:p>
            <w:pPr>
              <w:pStyle w:val="null3"/>
            </w:pPr>
            <w:r>
              <w:rPr>
                <w:rFonts w:ascii="仿宋_GB2312" w:hAnsi="仿宋_GB2312" w:cs="仿宋_GB2312" w:eastAsia="仿宋_GB2312"/>
              </w:rPr>
              <w:t>供应商认为有必要补充说明的事宜.docx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法律、法规和磋商文件规定的其他无效响应情形</w:t>
            </w:r>
          </w:p>
        </w:tc>
        <w:tc>
          <w:tcPr>
            <w:tcW w:type="dxa" w:w="3322"/>
          </w:tcPr>
          <w:p>
            <w:pPr>
              <w:pStyle w:val="null3"/>
            </w:pPr>
            <w:r>
              <w:rPr>
                <w:rFonts w:ascii="仿宋_GB2312" w:hAnsi="仿宋_GB2312" w:cs="仿宋_GB2312" w:eastAsia="仿宋_GB2312"/>
              </w:rPr>
              <w:t>无法律、法规和磋商文件规定的其他无效响应情形</w:t>
            </w:r>
          </w:p>
        </w:tc>
        <w:tc>
          <w:tcPr>
            <w:tcW w:type="dxa" w:w="1661"/>
          </w:tcPr>
          <w:p>
            <w:pPr>
              <w:pStyle w:val="null3"/>
            </w:pPr>
            <w:r>
              <w:rPr>
                <w:rFonts w:ascii="仿宋_GB2312" w:hAnsi="仿宋_GB2312" w:cs="仿宋_GB2312" w:eastAsia="仿宋_GB2312"/>
              </w:rPr>
              <w:t>供应商认为有必要补充说明的事宜.docx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2：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若出现综合得分相同时，则依次比较报价得分，防治技术力量及人员组织配备得分，防控药剂得分，以得分高的排序在先。</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若出现综合得分相同时，则依次比较报价得分，防治技术力量及人员组织配备得分，防控药剂得分，以得分高的排序在先。</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防治技术力量 及人员组织配备情况 1</w:t>
            </w:r>
          </w:p>
        </w:tc>
        <w:tc>
          <w:tcPr>
            <w:tcW w:type="dxa" w:w="2492"/>
          </w:tcPr>
          <w:p>
            <w:pPr>
              <w:pStyle w:val="null3"/>
            </w:pPr>
            <w:r>
              <w:rPr>
                <w:rFonts w:ascii="仿宋_GB2312" w:hAnsi="仿宋_GB2312" w:cs="仿宋_GB2312" w:eastAsia="仿宋_GB2312"/>
              </w:rPr>
              <w:t>具有5名农作物病虫害防治技术人员的计4分，以农药使用、病虫害防治等植保技术培训合格证或相关专业毕业证书为准，提供不全的或未提供的均不计分；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防治技术力量及人员组织配备情况.docx</w:t>
            </w:r>
          </w:p>
        </w:tc>
      </w:tr>
      <w:tr>
        <w:tc>
          <w:tcPr>
            <w:tcW w:type="dxa" w:w="831"/>
            <w:vMerge/>
          </w:tcPr>
          <w:p/>
        </w:tc>
        <w:tc>
          <w:tcPr>
            <w:tcW w:type="dxa" w:w="1661"/>
          </w:tcPr>
          <w:p>
            <w:pPr>
              <w:pStyle w:val="null3"/>
            </w:pPr>
            <w:r>
              <w:rPr>
                <w:rFonts w:ascii="仿宋_GB2312" w:hAnsi="仿宋_GB2312" w:cs="仿宋_GB2312" w:eastAsia="仿宋_GB2312"/>
              </w:rPr>
              <w:t>防治技术力量 及人员组织配备情况2</w:t>
            </w:r>
          </w:p>
        </w:tc>
        <w:tc>
          <w:tcPr>
            <w:tcW w:type="dxa" w:w="2492"/>
          </w:tcPr>
          <w:p>
            <w:pPr>
              <w:pStyle w:val="null3"/>
            </w:pPr>
            <w:r>
              <w:rPr>
                <w:rFonts w:ascii="仿宋_GB2312" w:hAnsi="仿宋_GB2312" w:cs="仿宋_GB2312" w:eastAsia="仿宋_GB2312"/>
              </w:rPr>
              <w:t>防治机构在农业植保部门备案的农作物病虫害专业化统防统治组织的计2分。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防治技术力量及人员组织配备情况.docx</w:t>
            </w:r>
          </w:p>
        </w:tc>
      </w:tr>
      <w:tr>
        <w:tc>
          <w:tcPr>
            <w:tcW w:type="dxa" w:w="831"/>
            <w:vMerge/>
          </w:tcPr>
          <w:p/>
        </w:tc>
        <w:tc>
          <w:tcPr>
            <w:tcW w:type="dxa" w:w="1661"/>
          </w:tcPr>
          <w:p>
            <w:pPr>
              <w:pStyle w:val="null3"/>
            </w:pPr>
            <w:r>
              <w:rPr>
                <w:rFonts w:ascii="仿宋_GB2312" w:hAnsi="仿宋_GB2312" w:cs="仿宋_GB2312" w:eastAsia="仿宋_GB2312"/>
              </w:rPr>
              <w:t>防治技术力量及人员组织配备情况3</w:t>
            </w:r>
          </w:p>
        </w:tc>
        <w:tc>
          <w:tcPr>
            <w:tcW w:type="dxa" w:w="2492"/>
          </w:tcPr>
          <w:p>
            <w:pPr>
              <w:pStyle w:val="null3"/>
            </w:pPr>
            <w:r>
              <w:rPr>
                <w:rFonts w:ascii="仿宋_GB2312" w:hAnsi="仿宋_GB2312" w:cs="仿宋_GB2312" w:eastAsia="仿宋_GB2312"/>
              </w:rPr>
              <w:t>能提供小麦重大病虫害防治的具体实施建议，包含但不限于：①对项目的整体理解；②项目整体实施方案及措施；③防控达到的效果；④防治建议；⑤ 防控保障与效果评估等； 评审标准：方案各项内容全面详细、阐述条理清晰、具有针对性、合理可行得5分。每有一项缺项扣1分，每有一处内容存在缺陷，扣0.5分，扣完为止，未提供相关内容本项不计分。 备注：缺陷是指内容不合理、内容仅有粗略表述不具体、内容表述前后不一致、套用其他项目方案或与项目需求不匹配及其他不利于项目实施等任意一种情形。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防治技术力量及人员组织配备情况.docx</w:t>
            </w:r>
          </w:p>
        </w:tc>
      </w:tr>
      <w:tr>
        <w:tc>
          <w:tcPr>
            <w:tcW w:type="dxa" w:w="831"/>
            <w:vMerge/>
          </w:tcPr>
          <w:p/>
        </w:tc>
        <w:tc>
          <w:tcPr>
            <w:tcW w:type="dxa" w:w="1661"/>
          </w:tcPr>
          <w:p>
            <w:pPr>
              <w:pStyle w:val="null3"/>
            </w:pPr>
            <w:r>
              <w:rPr>
                <w:rFonts w:ascii="仿宋_GB2312" w:hAnsi="仿宋_GB2312" w:cs="仿宋_GB2312" w:eastAsia="仿宋_GB2312"/>
              </w:rPr>
              <w:t>防治技术力量及人员组织配备情况4</w:t>
            </w:r>
          </w:p>
        </w:tc>
        <w:tc>
          <w:tcPr>
            <w:tcW w:type="dxa" w:w="2492"/>
          </w:tcPr>
          <w:p>
            <w:pPr>
              <w:pStyle w:val="null3"/>
            </w:pPr>
            <w:r>
              <w:rPr>
                <w:rFonts w:ascii="仿宋_GB2312" w:hAnsi="仿宋_GB2312" w:cs="仿宋_GB2312" w:eastAsia="仿宋_GB2312"/>
              </w:rPr>
              <w:t>农作物病虫害防治技术人员（在5名的基础上）每增加1名加1分，总分5分。以农药使用、病虫害防治等植保技术培训合格证或相关专业毕业证书为准，未提供不计分。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防治技术力量及人员组织配备情况.docx</w:t>
            </w:r>
          </w:p>
        </w:tc>
      </w:tr>
      <w:tr>
        <w:tc>
          <w:tcPr>
            <w:tcW w:type="dxa" w:w="831"/>
            <w:vMerge/>
          </w:tcPr>
          <w:p/>
        </w:tc>
        <w:tc>
          <w:tcPr>
            <w:tcW w:type="dxa" w:w="1661"/>
          </w:tcPr>
          <w:p>
            <w:pPr>
              <w:pStyle w:val="null3"/>
            </w:pPr>
            <w:r>
              <w:rPr>
                <w:rFonts w:ascii="仿宋_GB2312" w:hAnsi="仿宋_GB2312" w:cs="仿宋_GB2312" w:eastAsia="仿宋_GB2312"/>
              </w:rPr>
              <w:t>防控药剂1</w:t>
            </w:r>
          </w:p>
        </w:tc>
        <w:tc>
          <w:tcPr>
            <w:tcW w:type="dxa" w:w="2492"/>
          </w:tcPr>
          <w:p>
            <w:pPr>
              <w:pStyle w:val="null3"/>
            </w:pPr>
            <w:r>
              <w:rPr>
                <w:rFonts w:ascii="仿宋_GB2312" w:hAnsi="仿宋_GB2312" w:cs="仿宋_GB2312" w:eastAsia="仿宋_GB2312"/>
              </w:rPr>
              <w:t>防控药剂必须是适宜航化作业的药剂，药剂选择符合本次招标要求，杀菌剂+杀虫剂+叶面肥或植物生长调节剂（提供药剂的相关质量、质量保证和使用证明材料），所选药剂符合国际、国家的标准和有关规定的计5分。提供不完整或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防控药剂.docx</w:t>
            </w:r>
          </w:p>
        </w:tc>
      </w:tr>
      <w:tr>
        <w:tc>
          <w:tcPr>
            <w:tcW w:type="dxa" w:w="831"/>
            <w:vMerge/>
          </w:tcPr>
          <w:p/>
        </w:tc>
        <w:tc>
          <w:tcPr>
            <w:tcW w:type="dxa" w:w="1661"/>
          </w:tcPr>
          <w:p>
            <w:pPr>
              <w:pStyle w:val="null3"/>
            </w:pPr>
            <w:r>
              <w:rPr>
                <w:rFonts w:ascii="仿宋_GB2312" w:hAnsi="仿宋_GB2312" w:cs="仿宋_GB2312" w:eastAsia="仿宋_GB2312"/>
              </w:rPr>
              <w:t>防控药剂2</w:t>
            </w:r>
          </w:p>
        </w:tc>
        <w:tc>
          <w:tcPr>
            <w:tcW w:type="dxa" w:w="2492"/>
          </w:tcPr>
          <w:p>
            <w:pPr>
              <w:pStyle w:val="null3"/>
            </w:pPr>
            <w:r>
              <w:rPr>
                <w:rFonts w:ascii="仿宋_GB2312" w:hAnsi="仿宋_GB2312" w:cs="仿宋_GB2312" w:eastAsia="仿宋_GB2312"/>
              </w:rPr>
              <w:t>农药产品三证齐全（农药登记证、农药生产许可证、农药产品标准证）、肥料产品需提供肥料登记证、必须使用航化助剂并提供航化助剂产品资料，计6 分，提供不全的不得分。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防控药剂.docx</w:t>
            </w:r>
          </w:p>
        </w:tc>
      </w:tr>
      <w:tr>
        <w:tc>
          <w:tcPr>
            <w:tcW w:type="dxa" w:w="831"/>
            <w:vMerge/>
          </w:tcPr>
          <w:p/>
        </w:tc>
        <w:tc>
          <w:tcPr>
            <w:tcW w:type="dxa" w:w="1661"/>
          </w:tcPr>
          <w:p>
            <w:pPr>
              <w:pStyle w:val="null3"/>
            </w:pPr>
            <w:r>
              <w:rPr>
                <w:rFonts w:ascii="仿宋_GB2312" w:hAnsi="仿宋_GB2312" w:cs="仿宋_GB2312" w:eastAsia="仿宋_GB2312"/>
              </w:rPr>
              <w:t>服务方案1</w:t>
            </w:r>
          </w:p>
        </w:tc>
        <w:tc>
          <w:tcPr>
            <w:tcW w:type="dxa" w:w="2492"/>
          </w:tcPr>
          <w:p>
            <w:pPr>
              <w:pStyle w:val="null3"/>
            </w:pPr>
            <w:r>
              <w:rPr>
                <w:rFonts w:ascii="仿宋_GB2312" w:hAnsi="仿宋_GB2312" w:cs="仿宋_GB2312" w:eastAsia="仿宋_GB2312"/>
              </w:rPr>
              <w:t>服务方案包含但不限于：①时间具体安排；服务保障措施及承诺等；②拟派项目人员清单；分工明确；③设备充足，满足项目需求等；评审标准：方案各项内容全面详细、阐述条理清晰、具有针对性、合理可行得6分。每有一项缺项扣2分，每有一处内容存在缺陷，扣1分，扣完为止，未提供相关内容本项不计分。 备注：缺陷是指内容不合理、内容仅有粗略表述不具体、内容表述前后不一致、套用其他项目方案或与项目需求不匹配及其他不利于项目实施等任意一种情形。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服务方案2</w:t>
            </w:r>
          </w:p>
        </w:tc>
        <w:tc>
          <w:tcPr>
            <w:tcW w:type="dxa" w:w="2492"/>
          </w:tcPr>
          <w:p>
            <w:pPr>
              <w:pStyle w:val="null3"/>
            </w:pPr>
            <w:r>
              <w:rPr>
                <w:rFonts w:ascii="仿宋_GB2312" w:hAnsi="仿宋_GB2312" w:cs="仿宋_GB2312" w:eastAsia="仿宋_GB2312"/>
              </w:rPr>
              <w:t>飞防作业安全保障措施包含但不限于：①确保人员安全；②环境安全；③合理化建议；④服务区域明确，重点任务明确等。评审标准：方案各项内容全面详细、阐述条理清晰、具有针对性、合理可行得8分。每有一项缺项扣2分，每有一处内容存在缺陷，扣1分，扣完为止，未提供相关内容本项不计分。 备注：缺陷是指内容不合理、内容仅有粗略表述不具体、内容表述前后不一致、套用其他项目方案或与项目需求不匹配及其他不利于项目实施等任意一种情形。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应急处置方案</w:t>
            </w:r>
          </w:p>
        </w:tc>
        <w:tc>
          <w:tcPr>
            <w:tcW w:type="dxa" w:w="2492"/>
          </w:tcPr>
          <w:p>
            <w:pPr>
              <w:pStyle w:val="null3"/>
            </w:pPr>
            <w:r>
              <w:rPr>
                <w:rFonts w:ascii="仿宋_GB2312" w:hAnsi="仿宋_GB2312" w:cs="仿宋_GB2312" w:eastAsia="仿宋_GB2312"/>
              </w:rPr>
              <w:t>①预防方案；②人员及设备应急和突发事件的处理措施；③突发性病虫害的防控措施等；评审标准：方案各项内容全面详细、阐述条理清晰、具有针对性、合理可行得6分。每有一项缺项扣2分，每有一处内容存在缺陷，扣1分，扣完为止，未提供相关内容本项不计分。 备注：缺陷是指内容不合理、内容仅有粗略表述不具体、内容表述前后不一致、套用其他项目方案或与项目需求不匹配及其他不利于项目实施等任意一种情形。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应急处置方案.docx</w:t>
            </w:r>
          </w:p>
        </w:tc>
      </w:tr>
      <w:tr>
        <w:tc>
          <w:tcPr>
            <w:tcW w:type="dxa" w:w="831"/>
            <w:vMerge/>
          </w:tcPr>
          <w:p/>
        </w:tc>
        <w:tc>
          <w:tcPr>
            <w:tcW w:type="dxa" w:w="1661"/>
          </w:tcPr>
          <w:p>
            <w:pPr>
              <w:pStyle w:val="null3"/>
            </w:pPr>
            <w:r>
              <w:rPr>
                <w:rFonts w:ascii="仿宋_GB2312" w:hAnsi="仿宋_GB2312" w:cs="仿宋_GB2312" w:eastAsia="仿宋_GB2312"/>
              </w:rPr>
              <w:t>航化作业组织的规模、能力 1</w:t>
            </w:r>
          </w:p>
        </w:tc>
        <w:tc>
          <w:tcPr>
            <w:tcW w:type="dxa" w:w="2492"/>
          </w:tcPr>
          <w:p>
            <w:pPr>
              <w:pStyle w:val="null3"/>
            </w:pPr>
            <w:r>
              <w:rPr>
                <w:rFonts w:ascii="仿宋_GB2312" w:hAnsi="仿宋_GB2312" w:cs="仿宋_GB2312" w:eastAsia="仿宋_GB2312"/>
              </w:rPr>
              <w:t>具备植保无人机系统操作手合格证的飞手不少于 8 名（以合格证为准），少一名人员扣 1分，共5分，5分扣完为止。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航化作业组织的规模、能力.docx</w:t>
            </w:r>
          </w:p>
        </w:tc>
      </w:tr>
      <w:tr>
        <w:tc>
          <w:tcPr>
            <w:tcW w:type="dxa" w:w="831"/>
            <w:vMerge/>
          </w:tcPr>
          <w:p/>
        </w:tc>
        <w:tc>
          <w:tcPr>
            <w:tcW w:type="dxa" w:w="1661"/>
          </w:tcPr>
          <w:p>
            <w:pPr>
              <w:pStyle w:val="null3"/>
            </w:pPr>
            <w:r>
              <w:rPr>
                <w:rFonts w:ascii="仿宋_GB2312" w:hAnsi="仿宋_GB2312" w:cs="仿宋_GB2312" w:eastAsia="仿宋_GB2312"/>
              </w:rPr>
              <w:t>航化作业组织的规模 、能力 2</w:t>
            </w:r>
          </w:p>
        </w:tc>
        <w:tc>
          <w:tcPr>
            <w:tcW w:type="dxa" w:w="2492"/>
          </w:tcPr>
          <w:p>
            <w:pPr>
              <w:pStyle w:val="null3"/>
            </w:pPr>
            <w:r>
              <w:rPr>
                <w:rFonts w:ascii="仿宋_GB2312" w:hAnsi="仿宋_GB2312" w:cs="仿宋_GB2312" w:eastAsia="仿宋_GB2312"/>
              </w:rPr>
              <w:t>开展航化作业的无人机设备（载药量 30 公斤以上）不少于6架（需提供购机发票、付款凭证等），每少一架无人机扣 1 分，共5分，5分扣完为止。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航化作业组织的规模、能力.docx</w:t>
            </w:r>
          </w:p>
        </w:tc>
      </w:tr>
      <w:tr>
        <w:tc>
          <w:tcPr>
            <w:tcW w:type="dxa" w:w="831"/>
            <w:vMerge/>
          </w:tcPr>
          <w:p/>
        </w:tc>
        <w:tc>
          <w:tcPr>
            <w:tcW w:type="dxa" w:w="1661"/>
          </w:tcPr>
          <w:p>
            <w:pPr>
              <w:pStyle w:val="null3"/>
            </w:pPr>
            <w:r>
              <w:rPr>
                <w:rFonts w:ascii="仿宋_GB2312" w:hAnsi="仿宋_GB2312" w:cs="仿宋_GB2312" w:eastAsia="仿宋_GB2312"/>
              </w:rPr>
              <w:t>航化作业监管系统</w:t>
            </w:r>
          </w:p>
        </w:tc>
        <w:tc>
          <w:tcPr>
            <w:tcW w:type="dxa" w:w="2492"/>
          </w:tcPr>
          <w:p>
            <w:pPr>
              <w:pStyle w:val="null3"/>
            </w:pPr>
            <w:r>
              <w:rPr>
                <w:rFonts w:ascii="仿宋_GB2312" w:hAnsi="仿宋_GB2312" w:cs="仿宋_GB2312" w:eastAsia="仿宋_GB2312"/>
              </w:rPr>
              <w:t>能够给甲方提供航化作业监管系统，核查无人机作业的地点、时间、轨迹、作业面积及喷液量等信息的计5分，不能提供的不计分。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航化作业监管系统.docx</w:t>
            </w:r>
          </w:p>
        </w:tc>
      </w:tr>
      <w:tr>
        <w:tc>
          <w:tcPr>
            <w:tcW w:type="dxa" w:w="831"/>
            <w:vMerge/>
          </w:tcPr>
          <w:p/>
        </w:tc>
        <w:tc>
          <w:tcPr>
            <w:tcW w:type="dxa" w:w="1661"/>
          </w:tcPr>
          <w:p>
            <w:pPr>
              <w:pStyle w:val="null3"/>
            </w:pPr>
            <w:r>
              <w:rPr>
                <w:rFonts w:ascii="仿宋_GB2312" w:hAnsi="仿宋_GB2312" w:cs="仿宋_GB2312" w:eastAsia="仿宋_GB2312"/>
              </w:rPr>
              <w:t>作业质量服务承诺</w:t>
            </w:r>
          </w:p>
        </w:tc>
        <w:tc>
          <w:tcPr>
            <w:tcW w:type="dxa" w:w="2492"/>
          </w:tcPr>
          <w:p>
            <w:pPr>
              <w:pStyle w:val="null3"/>
            </w:pPr>
            <w:r>
              <w:rPr>
                <w:rFonts w:ascii="仿宋_GB2312" w:hAnsi="仿宋_GB2312" w:cs="仿宋_GB2312" w:eastAsia="仿宋_GB2312"/>
              </w:rPr>
              <w:t>具有完善的质量保证措施，逻辑性和可操作性强，防效不得低于85%，以2023年1月至今病虫防控作业防效评估报告为准，每提供1个得1分，共3分。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作业质量服务承诺.docx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以合同形式提供供应商2024年1月至今类似项目业绩，一份计1分，共5分。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按照财政部《政府采购竞争性磋商采购方式管理暂行办法》（财库[2014]214号）的有关规定：价格分统一采用低价优先法计算，即满足磋商文件要求且磋商价格最低的磋商报价为评标基准价，其价格分为满分。其他供应商的价格分统一按照下列公式计算： 磋商报价得分=(磋商基准价／磋商报价)×价格权值（即30%）×100。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防治技术力量 及人员组织配备情况 1</w:t>
            </w:r>
          </w:p>
        </w:tc>
        <w:tc>
          <w:tcPr>
            <w:tcW w:type="dxa" w:w="2492"/>
          </w:tcPr>
          <w:p>
            <w:pPr>
              <w:pStyle w:val="null3"/>
            </w:pPr>
            <w:r>
              <w:rPr>
                <w:rFonts w:ascii="仿宋_GB2312" w:hAnsi="仿宋_GB2312" w:cs="仿宋_GB2312" w:eastAsia="仿宋_GB2312"/>
              </w:rPr>
              <w:t>具有5名农作物病虫害防治技术人员的计4分，以农药使用、病虫害防治等植保技术培训合格证或相关专业毕业证书为准，提供不全的或未提供的均不计分；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防治技术力量及人员组织配备情况.docx</w:t>
            </w:r>
          </w:p>
        </w:tc>
      </w:tr>
      <w:tr>
        <w:tc>
          <w:tcPr>
            <w:tcW w:type="dxa" w:w="831"/>
            <w:vMerge/>
          </w:tcPr>
          <w:p/>
        </w:tc>
        <w:tc>
          <w:tcPr>
            <w:tcW w:type="dxa" w:w="1661"/>
          </w:tcPr>
          <w:p>
            <w:pPr>
              <w:pStyle w:val="null3"/>
            </w:pPr>
            <w:r>
              <w:rPr>
                <w:rFonts w:ascii="仿宋_GB2312" w:hAnsi="仿宋_GB2312" w:cs="仿宋_GB2312" w:eastAsia="仿宋_GB2312"/>
              </w:rPr>
              <w:t>防治技术力量及人员组织配备情况2</w:t>
            </w:r>
          </w:p>
        </w:tc>
        <w:tc>
          <w:tcPr>
            <w:tcW w:type="dxa" w:w="2492"/>
          </w:tcPr>
          <w:p>
            <w:pPr>
              <w:pStyle w:val="null3"/>
            </w:pPr>
            <w:r>
              <w:rPr>
                <w:rFonts w:ascii="仿宋_GB2312" w:hAnsi="仿宋_GB2312" w:cs="仿宋_GB2312" w:eastAsia="仿宋_GB2312"/>
              </w:rPr>
              <w:t>防治机构在农业植保部门备案的农作物病虫害专业化统防统治组织的计2分。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防治技术力量及人员组织配备情况.docx</w:t>
            </w:r>
          </w:p>
        </w:tc>
      </w:tr>
      <w:tr>
        <w:tc>
          <w:tcPr>
            <w:tcW w:type="dxa" w:w="831"/>
            <w:vMerge/>
          </w:tcPr>
          <w:p/>
        </w:tc>
        <w:tc>
          <w:tcPr>
            <w:tcW w:type="dxa" w:w="1661"/>
          </w:tcPr>
          <w:p>
            <w:pPr>
              <w:pStyle w:val="null3"/>
            </w:pPr>
            <w:r>
              <w:rPr>
                <w:rFonts w:ascii="仿宋_GB2312" w:hAnsi="仿宋_GB2312" w:cs="仿宋_GB2312" w:eastAsia="仿宋_GB2312"/>
              </w:rPr>
              <w:t>防治技术力量及人员组织配备情况3</w:t>
            </w:r>
          </w:p>
        </w:tc>
        <w:tc>
          <w:tcPr>
            <w:tcW w:type="dxa" w:w="2492"/>
          </w:tcPr>
          <w:p>
            <w:pPr>
              <w:pStyle w:val="null3"/>
            </w:pPr>
            <w:r>
              <w:rPr>
                <w:rFonts w:ascii="仿宋_GB2312" w:hAnsi="仿宋_GB2312" w:cs="仿宋_GB2312" w:eastAsia="仿宋_GB2312"/>
              </w:rPr>
              <w:t>能提供小麦重大病虫害防治的具体实施建议，包含但不限于：①对项目的整体理解；②项目整体实施方案及措施；③防控达到的效果；④防治建议；⑤ 防控保障与效果评估等； 评审标准：方案各项内容全面详细、阐述条理清晰、具有针对性、合理可行得5分。每有一项缺项扣1分，每有一处内容存在缺陷，扣0.5分，扣完为止，未提供相关内容本项不计分。 备注：缺陷是指内容不合理、内容仅有粗略表述不具体、内容表述前后不一致、套用其他项目方案或与项目需求不匹配及其他不利于项目实施等任意一种情形。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防治技术力量及人员组织配备情况.docx</w:t>
            </w:r>
          </w:p>
        </w:tc>
      </w:tr>
      <w:tr>
        <w:tc>
          <w:tcPr>
            <w:tcW w:type="dxa" w:w="831"/>
            <w:vMerge/>
          </w:tcPr>
          <w:p/>
        </w:tc>
        <w:tc>
          <w:tcPr>
            <w:tcW w:type="dxa" w:w="1661"/>
          </w:tcPr>
          <w:p>
            <w:pPr>
              <w:pStyle w:val="null3"/>
            </w:pPr>
            <w:r>
              <w:rPr>
                <w:rFonts w:ascii="仿宋_GB2312" w:hAnsi="仿宋_GB2312" w:cs="仿宋_GB2312" w:eastAsia="仿宋_GB2312"/>
              </w:rPr>
              <w:t>防治技术力量及人员组织配备情况4</w:t>
            </w:r>
          </w:p>
        </w:tc>
        <w:tc>
          <w:tcPr>
            <w:tcW w:type="dxa" w:w="2492"/>
          </w:tcPr>
          <w:p>
            <w:pPr>
              <w:pStyle w:val="null3"/>
            </w:pPr>
            <w:r>
              <w:rPr>
                <w:rFonts w:ascii="仿宋_GB2312" w:hAnsi="仿宋_GB2312" w:cs="仿宋_GB2312" w:eastAsia="仿宋_GB2312"/>
              </w:rPr>
              <w:t>农作物病虫害防治技术人员（在5名的基础上）每增加1名加1分，总分5分。以农药使用、病虫害防治等植保技术培训合格证或相关专业毕业证书为准，未提供不计分。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防治技术力量及人员组织配备情况.docx</w:t>
            </w:r>
          </w:p>
        </w:tc>
      </w:tr>
      <w:tr>
        <w:tc>
          <w:tcPr>
            <w:tcW w:type="dxa" w:w="831"/>
            <w:vMerge/>
          </w:tcPr>
          <w:p/>
        </w:tc>
        <w:tc>
          <w:tcPr>
            <w:tcW w:type="dxa" w:w="1661"/>
          </w:tcPr>
          <w:p>
            <w:pPr>
              <w:pStyle w:val="null3"/>
            </w:pPr>
            <w:r>
              <w:rPr>
                <w:rFonts w:ascii="仿宋_GB2312" w:hAnsi="仿宋_GB2312" w:cs="仿宋_GB2312" w:eastAsia="仿宋_GB2312"/>
              </w:rPr>
              <w:t>防控药剂1</w:t>
            </w:r>
          </w:p>
        </w:tc>
        <w:tc>
          <w:tcPr>
            <w:tcW w:type="dxa" w:w="2492"/>
          </w:tcPr>
          <w:p>
            <w:pPr>
              <w:pStyle w:val="null3"/>
            </w:pPr>
            <w:r>
              <w:rPr>
                <w:rFonts w:ascii="仿宋_GB2312" w:hAnsi="仿宋_GB2312" w:cs="仿宋_GB2312" w:eastAsia="仿宋_GB2312"/>
              </w:rPr>
              <w:t>防控药剂必须是适宜航化作业的药剂，药剂选择符合本次招标要求，杀菌剂+杀虫剂+叶面肥或植物生长调节剂（提供药剂的相关质量、质量保证和使用证明材料），所选药剂符合国际、国家的标准和有关规定的计5分。提供不完整或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防控药剂.docx</w:t>
            </w:r>
          </w:p>
        </w:tc>
      </w:tr>
      <w:tr>
        <w:tc>
          <w:tcPr>
            <w:tcW w:type="dxa" w:w="831"/>
            <w:vMerge/>
          </w:tcPr>
          <w:p/>
        </w:tc>
        <w:tc>
          <w:tcPr>
            <w:tcW w:type="dxa" w:w="1661"/>
          </w:tcPr>
          <w:p>
            <w:pPr>
              <w:pStyle w:val="null3"/>
            </w:pPr>
            <w:r>
              <w:rPr>
                <w:rFonts w:ascii="仿宋_GB2312" w:hAnsi="仿宋_GB2312" w:cs="仿宋_GB2312" w:eastAsia="仿宋_GB2312"/>
              </w:rPr>
              <w:t>防控药剂2</w:t>
            </w:r>
          </w:p>
        </w:tc>
        <w:tc>
          <w:tcPr>
            <w:tcW w:type="dxa" w:w="2492"/>
          </w:tcPr>
          <w:p>
            <w:pPr>
              <w:pStyle w:val="null3"/>
            </w:pPr>
            <w:r>
              <w:rPr>
                <w:rFonts w:ascii="仿宋_GB2312" w:hAnsi="仿宋_GB2312" w:cs="仿宋_GB2312" w:eastAsia="仿宋_GB2312"/>
              </w:rPr>
              <w:t>农药产品三证齐全（农药登记证、农药生产许可证、农药产品标准证）、肥料产品需提供肥料登记证、必须使用航化助剂并提供航化助剂产品资料，计6 分，提供不全的不得分。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防控药剂.docx</w:t>
            </w:r>
          </w:p>
        </w:tc>
      </w:tr>
      <w:tr>
        <w:tc>
          <w:tcPr>
            <w:tcW w:type="dxa" w:w="831"/>
            <w:vMerge/>
          </w:tcPr>
          <w:p/>
        </w:tc>
        <w:tc>
          <w:tcPr>
            <w:tcW w:type="dxa" w:w="1661"/>
          </w:tcPr>
          <w:p>
            <w:pPr>
              <w:pStyle w:val="null3"/>
            </w:pPr>
            <w:r>
              <w:rPr>
                <w:rFonts w:ascii="仿宋_GB2312" w:hAnsi="仿宋_GB2312" w:cs="仿宋_GB2312" w:eastAsia="仿宋_GB2312"/>
              </w:rPr>
              <w:t>服务方案1</w:t>
            </w:r>
          </w:p>
        </w:tc>
        <w:tc>
          <w:tcPr>
            <w:tcW w:type="dxa" w:w="2492"/>
          </w:tcPr>
          <w:p>
            <w:pPr>
              <w:pStyle w:val="null3"/>
            </w:pPr>
            <w:r>
              <w:rPr>
                <w:rFonts w:ascii="仿宋_GB2312" w:hAnsi="仿宋_GB2312" w:cs="仿宋_GB2312" w:eastAsia="仿宋_GB2312"/>
              </w:rPr>
              <w:t>服务方案包含但不限于：①时间具体安排；服务保障措施及承诺等；②拟派项目人员清单；分工明确；③设备充足，满足项目需求等；评审标准：方案各项内容全面详细、阐述条理清晰、具有针对性、合理可行得6分。每有一项缺项扣2分，每有一处内容存在缺陷，扣1分，扣完为止，未提供相关内容本项不计分。 备注：缺陷是指内容不合理、内容仅有粗略表述不具体、内容表述前后不一致、套用其他项目方案或与项目需求不匹配及其他不利于项目实施等任意一种情形。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服务方案2</w:t>
            </w:r>
          </w:p>
        </w:tc>
        <w:tc>
          <w:tcPr>
            <w:tcW w:type="dxa" w:w="2492"/>
          </w:tcPr>
          <w:p>
            <w:pPr>
              <w:pStyle w:val="null3"/>
            </w:pPr>
            <w:r>
              <w:rPr>
                <w:rFonts w:ascii="仿宋_GB2312" w:hAnsi="仿宋_GB2312" w:cs="仿宋_GB2312" w:eastAsia="仿宋_GB2312"/>
              </w:rPr>
              <w:t>飞防作业安全保障措施包含但不限于：①确保人员安全；②环境安全；③合理化建议；④服务区域明确，重点任务明确等。评审标准：方案各项内容全面详细、阐述条理清晰、具有针对性、合理可行得8分。每有一项缺项扣2分，每有一处内容存在缺陷，扣1分，扣完为止，未提供相关内容本项不计分。 备注：缺陷是指内容不合理、内容仅有粗略表述不具体、内容表述前后不一致、套用其他项目方案或与项目需求不匹配及其他不利于项目实施等任意一种情形。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应急处置方案</w:t>
            </w:r>
          </w:p>
        </w:tc>
        <w:tc>
          <w:tcPr>
            <w:tcW w:type="dxa" w:w="2492"/>
          </w:tcPr>
          <w:p>
            <w:pPr>
              <w:pStyle w:val="null3"/>
            </w:pPr>
            <w:r>
              <w:rPr>
                <w:rFonts w:ascii="仿宋_GB2312" w:hAnsi="仿宋_GB2312" w:cs="仿宋_GB2312" w:eastAsia="仿宋_GB2312"/>
              </w:rPr>
              <w:t>①预防方案；②人员及设备应急和突发事件的处理措施；③突发性病虫害的防控措施等；评审标准方案各项内容全面详细、阐述条理清晰、具有针对性、合理可行得6分。每有一项缺项扣2分，每有一处内容存在缺陷，扣1分，扣完为止，未提供相关内容本项不计分。 备注：缺陷是指内容不合理、内容仅有粗略表述不具体、内容表述前后不一致、套用其他项目方案或与项目需求不匹配及其他不利于项目实施等任意一种情形。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应急处置方案.docx</w:t>
            </w:r>
          </w:p>
        </w:tc>
      </w:tr>
      <w:tr>
        <w:tc>
          <w:tcPr>
            <w:tcW w:type="dxa" w:w="831"/>
            <w:vMerge/>
          </w:tcPr>
          <w:p/>
        </w:tc>
        <w:tc>
          <w:tcPr>
            <w:tcW w:type="dxa" w:w="1661"/>
          </w:tcPr>
          <w:p>
            <w:pPr>
              <w:pStyle w:val="null3"/>
            </w:pPr>
            <w:r>
              <w:rPr>
                <w:rFonts w:ascii="仿宋_GB2312" w:hAnsi="仿宋_GB2312" w:cs="仿宋_GB2312" w:eastAsia="仿宋_GB2312"/>
              </w:rPr>
              <w:t>航化作业组织的规模、能力 1</w:t>
            </w:r>
          </w:p>
        </w:tc>
        <w:tc>
          <w:tcPr>
            <w:tcW w:type="dxa" w:w="2492"/>
          </w:tcPr>
          <w:p>
            <w:pPr>
              <w:pStyle w:val="null3"/>
            </w:pPr>
            <w:r>
              <w:rPr>
                <w:rFonts w:ascii="仿宋_GB2312" w:hAnsi="仿宋_GB2312" w:cs="仿宋_GB2312" w:eastAsia="仿宋_GB2312"/>
              </w:rPr>
              <w:t>具备植保无人机系统操作手合格证的飞手不少于 8 名（以合格证为准），少一名人员扣 1分，共5分，5分扣完为止。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航化作业组织的规模、能力.docx</w:t>
            </w:r>
          </w:p>
        </w:tc>
      </w:tr>
      <w:tr>
        <w:tc>
          <w:tcPr>
            <w:tcW w:type="dxa" w:w="831"/>
            <w:vMerge/>
          </w:tcPr>
          <w:p/>
        </w:tc>
        <w:tc>
          <w:tcPr>
            <w:tcW w:type="dxa" w:w="1661"/>
          </w:tcPr>
          <w:p>
            <w:pPr>
              <w:pStyle w:val="null3"/>
            </w:pPr>
            <w:r>
              <w:rPr>
                <w:rFonts w:ascii="仿宋_GB2312" w:hAnsi="仿宋_GB2312" w:cs="仿宋_GB2312" w:eastAsia="仿宋_GB2312"/>
              </w:rPr>
              <w:t>航化作业组织的规模 、能力 2</w:t>
            </w:r>
          </w:p>
        </w:tc>
        <w:tc>
          <w:tcPr>
            <w:tcW w:type="dxa" w:w="2492"/>
          </w:tcPr>
          <w:p>
            <w:pPr>
              <w:pStyle w:val="null3"/>
            </w:pPr>
            <w:r>
              <w:rPr>
                <w:rFonts w:ascii="仿宋_GB2312" w:hAnsi="仿宋_GB2312" w:cs="仿宋_GB2312" w:eastAsia="仿宋_GB2312"/>
              </w:rPr>
              <w:t>开展航化作业的无人机设备（载药量 30 公斤以上）不少于6架（需提供购机发票、付款凭证等），每少一架无人机扣 1 分，共5分，5分扣完为止。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航化作业组织的规模、能力.docx</w:t>
            </w:r>
          </w:p>
        </w:tc>
      </w:tr>
      <w:tr>
        <w:tc>
          <w:tcPr>
            <w:tcW w:type="dxa" w:w="831"/>
            <w:vMerge/>
          </w:tcPr>
          <w:p/>
        </w:tc>
        <w:tc>
          <w:tcPr>
            <w:tcW w:type="dxa" w:w="1661"/>
          </w:tcPr>
          <w:p>
            <w:pPr>
              <w:pStyle w:val="null3"/>
            </w:pPr>
            <w:r>
              <w:rPr>
                <w:rFonts w:ascii="仿宋_GB2312" w:hAnsi="仿宋_GB2312" w:cs="仿宋_GB2312" w:eastAsia="仿宋_GB2312"/>
              </w:rPr>
              <w:t>航化作业监管系统</w:t>
            </w:r>
          </w:p>
        </w:tc>
        <w:tc>
          <w:tcPr>
            <w:tcW w:type="dxa" w:w="2492"/>
          </w:tcPr>
          <w:p>
            <w:pPr>
              <w:pStyle w:val="null3"/>
            </w:pPr>
            <w:r>
              <w:rPr>
                <w:rFonts w:ascii="仿宋_GB2312" w:hAnsi="仿宋_GB2312" w:cs="仿宋_GB2312" w:eastAsia="仿宋_GB2312"/>
              </w:rPr>
              <w:t>能够给甲方提供航化作业监管系统，核查无人机作业的地点、时间、轨迹、作业面积及喷液量等信息的计5分，不能提供的不计分。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航化作业监管系统.docx</w:t>
            </w:r>
          </w:p>
        </w:tc>
      </w:tr>
      <w:tr>
        <w:tc>
          <w:tcPr>
            <w:tcW w:type="dxa" w:w="831"/>
            <w:vMerge/>
          </w:tcPr>
          <w:p/>
        </w:tc>
        <w:tc>
          <w:tcPr>
            <w:tcW w:type="dxa" w:w="1661"/>
          </w:tcPr>
          <w:p>
            <w:pPr>
              <w:pStyle w:val="null3"/>
            </w:pPr>
            <w:r>
              <w:rPr>
                <w:rFonts w:ascii="仿宋_GB2312" w:hAnsi="仿宋_GB2312" w:cs="仿宋_GB2312" w:eastAsia="仿宋_GB2312"/>
              </w:rPr>
              <w:t>作业质量服务承诺</w:t>
            </w:r>
          </w:p>
        </w:tc>
        <w:tc>
          <w:tcPr>
            <w:tcW w:type="dxa" w:w="2492"/>
          </w:tcPr>
          <w:p>
            <w:pPr>
              <w:pStyle w:val="null3"/>
            </w:pPr>
            <w:r>
              <w:rPr>
                <w:rFonts w:ascii="仿宋_GB2312" w:hAnsi="仿宋_GB2312" w:cs="仿宋_GB2312" w:eastAsia="仿宋_GB2312"/>
              </w:rPr>
              <w:t>具有完善的质量保证措施，逻辑性和可操作性强，防效不得低于85%，以2023年1月至今病虫防控作业防效评估报告为准，每提供1个得1分，共3分。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作业质量服务承诺.docx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以合同形式提供供应商2024年1月至今类似项目业绩，一份计1分，共5分。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按照财政部《政府采购竞争性磋商采购方式管理暂行办法》（财库[2014]214号）的有关规定：价格分统一采用低价优先法计算，即满足磋商文件要求且磋商价格最低的磋商报价为评标基准价，其价格分为满分。其他供应商的价格分统一按照下列公式计算： 磋商报价得分=(磋商基准价／磋商报价)×价格权值（即30%）×100。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详见附件：《拒绝政府采购领域商业贿赂承诺书》.docx</w:t>
      </w:r>
    </w:p>
    <w:p>
      <w:pPr>
        <w:pStyle w:val="null3"/>
        <w:ind w:firstLine="960"/>
      </w:pPr>
      <w:r>
        <w:rPr>
          <w:rFonts w:ascii="仿宋_GB2312" w:hAnsi="仿宋_GB2312" w:cs="仿宋_GB2312" w:eastAsia="仿宋_GB2312"/>
        </w:rPr>
        <w:t>详见附件：法定代表人授权书.docx</w:t>
      </w:r>
    </w:p>
    <w:p>
      <w:pPr>
        <w:pStyle w:val="null3"/>
        <w:ind w:firstLine="960"/>
      </w:pPr>
      <w:r>
        <w:rPr>
          <w:rFonts w:ascii="仿宋_GB2312" w:hAnsi="仿宋_GB2312" w:cs="仿宋_GB2312" w:eastAsia="仿宋_GB2312"/>
        </w:rPr>
        <w:t>详见附件：防控药剂.docx</w:t>
      </w:r>
    </w:p>
    <w:p>
      <w:pPr>
        <w:pStyle w:val="null3"/>
        <w:ind w:firstLine="960"/>
      </w:pPr>
      <w:r>
        <w:rPr>
          <w:rFonts w:ascii="仿宋_GB2312" w:hAnsi="仿宋_GB2312" w:cs="仿宋_GB2312" w:eastAsia="仿宋_GB2312"/>
        </w:rPr>
        <w:t>详见附件：防治技术力量及人员组织配备情况.docx</w:t>
      </w:r>
    </w:p>
    <w:p>
      <w:pPr>
        <w:pStyle w:val="null3"/>
        <w:ind w:firstLine="960"/>
      </w:pPr>
      <w:r>
        <w:rPr>
          <w:rFonts w:ascii="仿宋_GB2312" w:hAnsi="仿宋_GB2312" w:cs="仿宋_GB2312" w:eastAsia="仿宋_GB2312"/>
        </w:rPr>
        <w:t>详见附件：分项报价.docx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详见附件：服务条款响应偏离表.docx</w:t>
      </w:r>
    </w:p>
    <w:p>
      <w:pPr>
        <w:pStyle w:val="null3"/>
        <w:ind w:firstLine="960"/>
      </w:pPr>
      <w:r>
        <w:rPr>
          <w:rFonts w:ascii="仿宋_GB2312" w:hAnsi="仿宋_GB2312" w:cs="仿宋_GB2312" w:eastAsia="仿宋_GB2312"/>
        </w:rPr>
        <w:t>详见附件：供应商参与政府采购活动的承诺函.docx</w:t>
      </w:r>
    </w:p>
    <w:p>
      <w:pPr>
        <w:pStyle w:val="null3"/>
        <w:ind w:firstLine="960"/>
      </w:pPr>
      <w:r>
        <w:rPr>
          <w:rFonts w:ascii="仿宋_GB2312" w:hAnsi="仿宋_GB2312" w:cs="仿宋_GB2312" w:eastAsia="仿宋_GB2312"/>
        </w:rPr>
        <w:t>详见附件：供应商认为有必要补充说明的事宜.docx</w:t>
      </w:r>
    </w:p>
    <w:p>
      <w:pPr>
        <w:pStyle w:val="null3"/>
        <w:ind w:firstLine="960"/>
      </w:pPr>
      <w:r>
        <w:rPr>
          <w:rFonts w:ascii="仿宋_GB2312" w:hAnsi="仿宋_GB2312" w:cs="仿宋_GB2312" w:eastAsia="仿宋_GB2312"/>
        </w:rPr>
        <w:t>详见附件：航化作业监管系统.docx</w:t>
      </w:r>
    </w:p>
    <w:p>
      <w:pPr>
        <w:pStyle w:val="null3"/>
        <w:ind w:firstLine="960"/>
      </w:pPr>
      <w:r>
        <w:rPr>
          <w:rFonts w:ascii="仿宋_GB2312" w:hAnsi="仿宋_GB2312" w:cs="仿宋_GB2312" w:eastAsia="仿宋_GB2312"/>
        </w:rPr>
        <w:t>详见附件：航化作业组织的规模、能力.docx</w:t>
      </w:r>
    </w:p>
    <w:p>
      <w:pPr>
        <w:pStyle w:val="null3"/>
        <w:ind w:firstLine="960"/>
      </w:pPr>
      <w:r>
        <w:rPr>
          <w:rFonts w:ascii="仿宋_GB2312" w:hAnsi="仿宋_GB2312" w:cs="仿宋_GB2312" w:eastAsia="仿宋_GB2312"/>
        </w:rPr>
        <w:t>详见附件：商务条款响应偏离表.docx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详见附件：应急处置方案.docx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详见附件：作业质量服务承诺.docx</w:t>
      </w:r>
    </w:p>
    <w:p>
      <w:pPr>
        <w:pStyle w:val="null3"/>
        <w:ind w:firstLine="960"/>
      </w:pPr>
      <w:r>
        <w:rPr>
          <w:rFonts w:ascii="仿宋_GB2312" w:hAnsi="仿宋_GB2312" w:cs="仿宋_GB2312" w:eastAsia="仿宋_GB2312"/>
        </w:rPr>
        <w:t>详见附件：被授权人承诺书.docx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详见附件：《拒绝政府采购领域商业贿赂承诺书》.docx</w:t>
      </w:r>
    </w:p>
    <w:p>
      <w:pPr>
        <w:pStyle w:val="null3"/>
        <w:ind w:firstLine="960"/>
      </w:pPr>
      <w:r>
        <w:rPr>
          <w:rFonts w:ascii="仿宋_GB2312" w:hAnsi="仿宋_GB2312" w:cs="仿宋_GB2312" w:eastAsia="仿宋_GB2312"/>
        </w:rPr>
        <w:t>详见附件：法定代表人授权书.docx</w:t>
      </w:r>
    </w:p>
    <w:p>
      <w:pPr>
        <w:pStyle w:val="null3"/>
        <w:ind w:firstLine="960"/>
      </w:pPr>
      <w:r>
        <w:rPr>
          <w:rFonts w:ascii="仿宋_GB2312" w:hAnsi="仿宋_GB2312" w:cs="仿宋_GB2312" w:eastAsia="仿宋_GB2312"/>
        </w:rPr>
        <w:t>详见附件：防治技术力量及人员组织配备情况.docx</w:t>
      </w:r>
    </w:p>
    <w:p>
      <w:pPr>
        <w:pStyle w:val="null3"/>
        <w:ind w:firstLine="960"/>
      </w:pPr>
      <w:r>
        <w:rPr>
          <w:rFonts w:ascii="仿宋_GB2312" w:hAnsi="仿宋_GB2312" w:cs="仿宋_GB2312" w:eastAsia="仿宋_GB2312"/>
        </w:rPr>
        <w:t>详见附件：分项报价.docx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详见附件：服务条款响应偏离表.docx</w:t>
      </w:r>
    </w:p>
    <w:p>
      <w:pPr>
        <w:pStyle w:val="null3"/>
        <w:ind w:firstLine="960"/>
      </w:pPr>
      <w:r>
        <w:rPr>
          <w:rFonts w:ascii="仿宋_GB2312" w:hAnsi="仿宋_GB2312" w:cs="仿宋_GB2312" w:eastAsia="仿宋_GB2312"/>
        </w:rPr>
        <w:t>详见附件：供应商参与政府采购活动的承诺函.docx</w:t>
      </w:r>
    </w:p>
    <w:p>
      <w:pPr>
        <w:pStyle w:val="null3"/>
        <w:ind w:firstLine="960"/>
      </w:pPr>
      <w:r>
        <w:rPr>
          <w:rFonts w:ascii="仿宋_GB2312" w:hAnsi="仿宋_GB2312" w:cs="仿宋_GB2312" w:eastAsia="仿宋_GB2312"/>
        </w:rPr>
        <w:t>详见附件：供应商认为有必要补充说明的事宜.docx</w:t>
      </w:r>
    </w:p>
    <w:p>
      <w:pPr>
        <w:pStyle w:val="null3"/>
        <w:ind w:firstLine="960"/>
      </w:pPr>
      <w:r>
        <w:rPr>
          <w:rFonts w:ascii="仿宋_GB2312" w:hAnsi="仿宋_GB2312" w:cs="仿宋_GB2312" w:eastAsia="仿宋_GB2312"/>
        </w:rPr>
        <w:t>详见附件：航化作业监管系统.docx</w:t>
      </w:r>
    </w:p>
    <w:p>
      <w:pPr>
        <w:pStyle w:val="null3"/>
        <w:ind w:firstLine="960"/>
      </w:pPr>
      <w:r>
        <w:rPr>
          <w:rFonts w:ascii="仿宋_GB2312" w:hAnsi="仿宋_GB2312" w:cs="仿宋_GB2312" w:eastAsia="仿宋_GB2312"/>
        </w:rPr>
        <w:t>详见附件：航化作业组织的规模、能力.docx</w:t>
      </w:r>
    </w:p>
    <w:p>
      <w:pPr>
        <w:pStyle w:val="null3"/>
        <w:ind w:firstLine="960"/>
      </w:pPr>
      <w:r>
        <w:rPr>
          <w:rFonts w:ascii="仿宋_GB2312" w:hAnsi="仿宋_GB2312" w:cs="仿宋_GB2312" w:eastAsia="仿宋_GB2312"/>
        </w:rPr>
        <w:t>详见附件：商务条款响应偏离表.docx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详见附件：应急处置方案.docx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详见附件：作业质量服务承诺.docx</w:t>
      </w:r>
    </w:p>
    <w:p>
      <w:pPr>
        <w:pStyle w:val="null3"/>
        <w:ind w:firstLine="960"/>
      </w:pPr>
      <w:r>
        <w:rPr>
          <w:rFonts w:ascii="仿宋_GB2312" w:hAnsi="仿宋_GB2312" w:cs="仿宋_GB2312" w:eastAsia="仿宋_GB2312"/>
        </w:rPr>
        <w:t>详见附件：被授权人承诺书.docx</w:t>
      </w:r>
    </w:p>
    <w:p>
      <w:pPr>
        <w:pStyle w:val="null3"/>
        <w:ind w:firstLine="960"/>
      </w:pPr>
      <w:r>
        <w:rPr>
          <w:rFonts w:ascii="仿宋_GB2312" w:hAnsi="仿宋_GB2312" w:cs="仿宋_GB2312" w:eastAsia="仿宋_GB2312"/>
        </w:rPr>
        <w:t>详见附件：防控药剂.docx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