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版本号：ZKXR-2026-010620260112001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2025年黄河流域高质量发展中央奖补（蓝田县白牛河及樊沟河河道综合治理工程维修）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ZKXR-2026-0106</w:t>
      </w:r>
      <w:r>
        <w:br/>
      </w:r>
      <w:r>
        <w:br/>
      </w:r>
      <w:r>
        <w:br/>
      </w:r>
    </w:p>
    <w:p>
      <w:pPr>
        <w:pStyle w:val="null3"/>
        <w:jc w:val="center"/>
        <w:outlineLvl w:val="2"/>
      </w:pPr>
      <w:r>
        <w:rPr>
          <w:rFonts w:ascii="仿宋_GB2312" w:hAnsi="仿宋_GB2312" w:cs="仿宋_GB2312" w:eastAsia="仿宋_GB2312"/>
          <w:sz w:val="28"/>
          <w:b/>
        </w:rPr>
        <w:t>西安市蓝田县住房和城乡建设局（本级）</w:t>
      </w:r>
    </w:p>
    <w:p>
      <w:pPr>
        <w:pStyle w:val="null3"/>
        <w:jc w:val="center"/>
        <w:outlineLvl w:val="2"/>
      </w:pPr>
      <w:r>
        <w:rPr>
          <w:rFonts w:ascii="仿宋_GB2312" w:hAnsi="仿宋_GB2312" w:cs="仿宋_GB2312" w:eastAsia="仿宋_GB2312"/>
          <w:sz w:val="28"/>
          <w:b/>
        </w:rPr>
        <w:t>中科旭日建设集团有限公司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中科旭日建设集团有限公司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西安市蓝田县住房和城乡建设局（本级）</w:t>
      </w:r>
      <w:r>
        <w:rPr>
          <w:rFonts w:ascii="仿宋_GB2312" w:hAnsi="仿宋_GB2312" w:cs="仿宋_GB2312" w:eastAsia="仿宋_GB2312"/>
        </w:rPr>
        <w:t>委托，拟对</w:t>
      </w:r>
      <w:r>
        <w:rPr>
          <w:rFonts w:ascii="仿宋_GB2312" w:hAnsi="仿宋_GB2312" w:cs="仿宋_GB2312" w:eastAsia="仿宋_GB2312"/>
        </w:rPr>
        <w:t>2025年黄河流域高质量发展中央奖补（蓝田县白牛河及樊沟河河道综合治理工程维修）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ZKXR-2026-0106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2025年黄河流域高质量发展中央奖补（蓝田县白牛河及樊沟河河道综合治理工程维修）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接d100支管14处，更换d100支管20处，更换d200支管23处，更换d315支管21处，暗涵清淤泥及无害化处理406m³，清理固体废物弃物45m³，检查井清理35座。清理河床6650㎡。增加破除原管道包管混凝土后接入波纹管并用砖砌封口15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采购包1（2025年黄河流域高质量发展中央奖补（蓝田县白牛河及樊沟河河道综合治理工程维修））：属于专门面向中小企业采购。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3、供应商资质要求：须提供建设行政主管部门颁发市政公用工程施工总承包三级（含三级）及以上资质，并具有合格有效的安全生产许可证；</w:t>
      </w:r>
    </w:p>
    <w:p>
      <w:pPr>
        <w:pStyle w:val="null3"/>
      </w:pPr>
      <w:r>
        <w:rPr>
          <w:rFonts w:ascii="仿宋_GB2312" w:hAnsi="仿宋_GB2312" w:cs="仿宋_GB2312" w:eastAsia="仿宋_GB2312"/>
        </w:rPr>
        <w:t>4、拟派项目经理资格要求：拟派项目经理须具备市政公用工程专业二级注册建造师及安全生产考核合格证书，在本单位注册且无在建工程和不良记录（提供无在建工程、无不良记录承诺书）；</w:t>
      </w:r>
    </w:p>
    <w:p>
      <w:pPr>
        <w:pStyle w:val="null3"/>
      </w:pPr>
      <w:r>
        <w:rPr>
          <w:rFonts w:ascii="仿宋_GB2312" w:hAnsi="仿宋_GB2312" w:cs="仿宋_GB2312" w:eastAsia="仿宋_GB2312"/>
        </w:rPr>
        <w:t>5、财务状况报告：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pPr>
        <w:pStyle w:val="null3"/>
      </w:pPr>
      <w:r>
        <w:rPr>
          <w:rFonts w:ascii="仿宋_GB2312" w:hAnsi="仿宋_GB2312" w:cs="仿宋_GB2312" w:eastAsia="仿宋_GB2312"/>
        </w:rPr>
        <w:t>6、税收缴纳证明：提供响应文件递交时间前三个月内至少一个月已缴纳的纳税证明或完税证明凭据；其他组织和自然人提供响应文件递交时间前一年内至少一个月缴纳税收的凭据；依法免税的供应商应提供相关文件证明；</w:t>
      </w:r>
    </w:p>
    <w:p>
      <w:pPr>
        <w:pStyle w:val="null3"/>
      </w:pPr>
      <w:r>
        <w:rPr>
          <w:rFonts w:ascii="仿宋_GB2312" w:hAnsi="仿宋_GB2312" w:cs="仿宋_GB2312" w:eastAsia="仿宋_GB2312"/>
        </w:rPr>
        <w:t>7、社会保障资金缴纳证明：提供响应文件递交时间前三个月至少一个月已缴纳的社会保障资金的凭据（专用收据或社会保险缴纳清单）；依法不需要缴纳社会保障资金的供应商应提供相关文件证明；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8、供应商具有履行合同所必需的设备和专业技术能力：具备履行合同所必需的设备和专业技术能力的证明材料(由供应商根据项目需求提供说明材料或承诺)；</w:t>
      </w:r>
    </w:p>
    <w:p>
      <w:pPr>
        <w:pStyle w:val="null3"/>
      </w:pPr>
      <w:r>
        <w:rPr>
          <w:rFonts w:ascii="仿宋_GB2312" w:hAnsi="仿宋_GB2312" w:cs="仿宋_GB2312" w:eastAsia="仿宋_GB2312"/>
        </w:rPr>
        <w:t>9、供应商信用要求：（1）供应商在“全国建筑市场监管公共服务平台”可查询到企业及项目经理基本信息；（2）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3）出具参加本次政府采购活动前三年内在经营活动中没有重大违法记录的书面声明；</w:t>
      </w:r>
    </w:p>
    <w:p>
      <w:pPr>
        <w:pStyle w:val="null3"/>
      </w:pPr>
      <w:r>
        <w:rPr>
          <w:rFonts w:ascii="仿宋_GB2312" w:hAnsi="仿宋_GB2312" w:cs="仿宋_GB2312" w:eastAsia="仿宋_GB2312"/>
        </w:rPr>
        <w:t>10、非联合体磋商：本项目不接受联合体磋商，单位负责人为同一人或者存在直接控股、管理关系的不同供应商，不得参加同一合同项下的政府采购活动；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11、中小企业声明函：本项目专门面向中小企业采购，仅限符合《政府采购促进中小企业发展管理办法》的通知(财库〔2020〕46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蓝田县县城北街26号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029-82751266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中科旭日建设集团有限公司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四川省成都市武侯区四川省成都市武侯区科西三路2号西物慧鼎8层5号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董秋娥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15319719053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（备注：项目名称+项目编号） 3、成交供应商在领取成交通知书时须携带纸质投标文件（签章版）贰份及电子优盘壹份（包含投标文件及报价）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西安市蓝田县住房和城乡建设局（本级）</w:t>
      </w:r>
      <w:r>
        <w:rPr>
          <w:rFonts w:ascii="仿宋_GB2312" w:hAnsi="仿宋_GB2312" w:cs="仿宋_GB2312" w:eastAsia="仿宋_GB2312"/>
        </w:rPr>
        <w:t>和</w:t>
      </w:r>
      <w:r>
        <w:rPr>
          <w:rFonts w:ascii="仿宋_GB2312" w:hAnsi="仿宋_GB2312" w:cs="仿宋_GB2312" w:eastAsia="仿宋_GB2312"/>
        </w:rPr>
        <w:t>中科旭日建设集团有限公司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中科旭日建设集团有限公司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中科旭日建设集团有限公司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联系人：董秋娥</w:t>
      </w:r>
    </w:p>
    <w:p>
      <w:pPr>
        <w:pStyle w:val="null3"/>
      </w:pPr>
      <w:r>
        <w:rPr>
          <w:rFonts w:ascii="仿宋_GB2312" w:hAnsi="仿宋_GB2312" w:cs="仿宋_GB2312" w:eastAsia="仿宋_GB2312"/>
        </w:rPr>
        <w:t>联系电话：18392046469</w:t>
      </w:r>
    </w:p>
    <w:p>
      <w:pPr>
        <w:pStyle w:val="null3"/>
      </w:pPr>
      <w:r>
        <w:rPr>
          <w:rFonts w:ascii="仿宋_GB2312" w:hAnsi="仿宋_GB2312" w:cs="仿宋_GB2312" w:eastAsia="仿宋_GB2312"/>
        </w:rPr>
        <w:t>地址：西安市灞桥区纺西街华夏世纪广场A座2105室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2025年黄河流域高质量发展中央奖补（蓝田县白牛河及樊沟河河道综合治理工程维修）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标的名称：2025年黄河流域高质量发展中央奖补（蓝田县白牛河及樊沟河河道综合治理工程维修）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工程内容和实施地点、计划工期、缺陷责任期、质量保修期</w:t>
            </w:r>
          </w:p>
          <w:p>
            <w:pPr>
              <w:pStyle w:val="null3"/>
              <w:ind w:firstLine="420"/>
              <w:jc w:val="both"/>
            </w:pPr>
            <w:r>
              <w:rPr>
                <w:rFonts w:ascii="仿宋_GB2312" w:hAnsi="仿宋_GB2312" w:cs="仿宋_GB2312" w:eastAsia="仿宋_GB2312"/>
                <w:sz w:val="28"/>
              </w:rPr>
              <w:t>1、项目名称：2025年黄河流域高质量发展中央奖补（蓝田县白牛河及樊沟河河道综合治理工程维修）</w:t>
            </w:r>
          </w:p>
          <w:p>
            <w:pPr>
              <w:pStyle w:val="null3"/>
              <w:ind w:firstLine="420"/>
              <w:jc w:val="both"/>
            </w:pPr>
            <w:r>
              <w:rPr>
                <w:rFonts w:ascii="仿宋_GB2312" w:hAnsi="仿宋_GB2312" w:cs="仿宋_GB2312" w:eastAsia="仿宋_GB2312"/>
                <w:sz w:val="28"/>
              </w:rPr>
              <w:t>2、建设单位：蓝田县住房和城乡建设局</w:t>
            </w:r>
          </w:p>
          <w:p>
            <w:pPr>
              <w:pStyle w:val="null3"/>
              <w:ind w:firstLine="420"/>
              <w:jc w:val="both"/>
            </w:pPr>
            <w:r>
              <w:rPr>
                <w:rFonts w:ascii="仿宋_GB2312" w:hAnsi="仿宋_GB2312" w:cs="仿宋_GB2312" w:eastAsia="仿宋_GB2312"/>
                <w:sz w:val="28"/>
              </w:rPr>
              <w:t>3、建设规模及内容：新接d100支管14处，更换d100支管20处，更换d200支管23处，更换d315支管21处，暗涵清淤泥及无害化处理406m³，清理固体废物弃物45m³，检查井清理35座。清理河床6650㎡。增加破除原管道包管混凝土后接入波纹管并用砖砌封口15处。</w:t>
            </w:r>
          </w:p>
          <w:p>
            <w:pPr>
              <w:pStyle w:val="null3"/>
              <w:ind w:firstLine="420"/>
              <w:jc w:val="both"/>
            </w:pPr>
            <w:r>
              <w:rPr>
                <w:rFonts w:ascii="仿宋_GB2312" w:hAnsi="仿宋_GB2312" w:cs="仿宋_GB2312" w:eastAsia="仿宋_GB2312"/>
                <w:sz w:val="28"/>
              </w:rPr>
              <w:t>4、建设地点：西安市蓝田县</w:t>
            </w:r>
          </w:p>
          <w:p>
            <w:pPr>
              <w:pStyle w:val="null3"/>
              <w:ind w:firstLine="420"/>
              <w:jc w:val="both"/>
            </w:pPr>
            <w:r>
              <w:rPr>
                <w:rFonts w:ascii="仿宋_GB2312" w:hAnsi="仿宋_GB2312" w:cs="仿宋_GB2312" w:eastAsia="仿宋_GB2312"/>
                <w:sz w:val="28"/>
              </w:rPr>
              <w:t>5、计划工期：合同签订之日起40个日历天。</w:t>
            </w:r>
          </w:p>
          <w:p>
            <w:pPr>
              <w:pStyle w:val="null3"/>
              <w:ind w:firstLine="420"/>
              <w:jc w:val="both"/>
            </w:pPr>
            <w:r>
              <w:rPr>
                <w:rFonts w:ascii="仿宋_GB2312" w:hAnsi="仿宋_GB2312" w:cs="仿宋_GB2312" w:eastAsia="仿宋_GB2312"/>
                <w:sz w:val="28"/>
              </w:rPr>
              <w:t>7、缺陷责任期：自竣工验收合格之日起24个月。</w:t>
            </w:r>
          </w:p>
          <w:p>
            <w:pPr>
              <w:pStyle w:val="null3"/>
              <w:ind w:firstLine="420"/>
              <w:jc w:val="both"/>
            </w:pPr>
            <w:r>
              <w:rPr>
                <w:rFonts w:ascii="仿宋_GB2312" w:hAnsi="仿宋_GB2312" w:cs="仿宋_GB2312" w:eastAsia="仿宋_GB2312"/>
                <w:sz w:val="28"/>
              </w:rPr>
              <w:t>8、质量保修期：2年。</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工程量清单和计价依据</w:t>
            </w:r>
          </w:p>
          <w:p>
            <w:pPr>
              <w:pStyle w:val="null3"/>
              <w:ind w:firstLine="562"/>
              <w:jc w:val="both"/>
            </w:pPr>
            <w:r>
              <w:rPr>
                <w:rFonts w:ascii="仿宋_GB2312" w:hAnsi="仿宋_GB2312" w:cs="仿宋_GB2312" w:eastAsia="仿宋_GB2312"/>
                <w:sz w:val="28"/>
                <w:b/>
              </w:rPr>
              <w:t>1、计价依据</w:t>
            </w:r>
          </w:p>
          <w:p>
            <w:pPr>
              <w:pStyle w:val="null3"/>
              <w:ind w:firstLine="560"/>
              <w:jc w:val="both"/>
            </w:pPr>
            <w:r>
              <w:rPr>
                <w:rFonts w:ascii="仿宋_GB2312" w:hAnsi="仿宋_GB2312" w:cs="仿宋_GB2312" w:eastAsia="仿宋_GB2312"/>
                <w:sz w:val="28"/>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pPr>
              <w:pStyle w:val="null3"/>
              <w:ind w:firstLine="560"/>
              <w:jc w:val="both"/>
            </w:pPr>
            <w:r>
              <w:rPr>
                <w:rFonts w:ascii="仿宋_GB2312" w:hAnsi="仿宋_GB2312" w:cs="仿宋_GB2312" w:eastAsia="仿宋_GB2312"/>
                <w:sz w:val="28"/>
              </w:rPr>
              <w:t>2、《陕西省</w:t>
            </w:r>
            <w:r>
              <w:rPr>
                <w:rFonts w:ascii="仿宋_GB2312" w:hAnsi="仿宋_GB2312" w:cs="仿宋_GB2312" w:eastAsia="仿宋_GB2312"/>
                <w:sz w:val="28"/>
              </w:rPr>
              <w:t>建设工程费用规则》（</w:t>
            </w:r>
            <w:r>
              <w:rPr>
                <w:rFonts w:ascii="仿宋_GB2312" w:hAnsi="仿宋_GB2312" w:cs="仿宋_GB2312" w:eastAsia="仿宋_GB2312"/>
                <w:sz w:val="28"/>
              </w:rPr>
              <w:t>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pPr>
              <w:pStyle w:val="null3"/>
              <w:ind w:firstLine="560"/>
              <w:jc w:val="both"/>
            </w:pPr>
            <w:r>
              <w:rPr>
                <w:rFonts w:ascii="仿宋_GB2312" w:hAnsi="仿宋_GB2312" w:cs="仿宋_GB2312" w:eastAsia="仿宋_GB2312"/>
                <w:sz w:val="28"/>
              </w:rPr>
              <w:t>3、建设单位提供的</w:t>
            </w:r>
            <w:r>
              <w:rPr>
                <w:rFonts w:ascii="仿宋_GB2312" w:hAnsi="仿宋_GB2312" w:cs="仿宋_GB2312" w:eastAsia="仿宋_GB2312"/>
                <w:sz w:val="28"/>
              </w:rPr>
              <w:t>维修工程量清单；</w:t>
            </w:r>
          </w:p>
          <w:p>
            <w:pPr>
              <w:pStyle w:val="null3"/>
              <w:ind w:firstLine="560"/>
              <w:jc w:val="both"/>
            </w:pPr>
            <w:r>
              <w:rPr>
                <w:rFonts w:ascii="仿宋_GB2312" w:hAnsi="仿宋_GB2312" w:cs="仿宋_GB2312" w:eastAsia="仿宋_GB2312"/>
                <w:sz w:val="28"/>
              </w:rPr>
              <w:t>4、正常施工组织设计及施工方法；</w:t>
            </w:r>
          </w:p>
          <w:p>
            <w:pPr>
              <w:pStyle w:val="null3"/>
              <w:ind w:firstLine="560"/>
              <w:jc w:val="both"/>
            </w:pPr>
            <w:r>
              <w:rPr>
                <w:rFonts w:ascii="仿宋_GB2312" w:hAnsi="仿宋_GB2312" w:cs="仿宋_GB2312" w:eastAsia="仿宋_GB2312"/>
                <w:sz w:val="28"/>
              </w:rPr>
              <w:t>5、与建设工程项目有关的标准、规范、图集、技术资料；</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主要材料价格参照</w:t>
            </w:r>
            <w:r>
              <w:rPr>
                <w:rFonts w:ascii="仿宋_GB2312" w:hAnsi="仿宋_GB2312" w:cs="仿宋_GB2312" w:eastAsia="仿宋_GB2312"/>
                <w:sz w:val="28"/>
              </w:rPr>
              <w:t>2025</w:t>
            </w:r>
            <w:r>
              <w:rPr>
                <w:rFonts w:ascii="仿宋_GB2312" w:hAnsi="仿宋_GB2312" w:cs="仿宋_GB2312" w:eastAsia="仿宋_GB2312"/>
                <w:sz w:val="28"/>
              </w:rPr>
              <w:t>年第</w:t>
            </w:r>
            <w:r>
              <w:rPr>
                <w:rFonts w:ascii="仿宋_GB2312" w:hAnsi="仿宋_GB2312" w:cs="仿宋_GB2312" w:eastAsia="仿宋_GB2312"/>
                <w:sz w:val="28"/>
              </w:rPr>
              <w:t>12月</w:t>
            </w:r>
            <w:r>
              <w:rPr>
                <w:rFonts w:ascii="仿宋_GB2312" w:hAnsi="仿宋_GB2312" w:cs="仿宋_GB2312" w:eastAsia="仿宋_GB2312"/>
                <w:sz w:val="28"/>
              </w:rPr>
              <w:t>《</w:t>
            </w:r>
            <w:r>
              <w:rPr>
                <w:rFonts w:ascii="仿宋_GB2312" w:hAnsi="仿宋_GB2312" w:cs="仿宋_GB2312" w:eastAsia="仿宋_GB2312"/>
                <w:sz w:val="28"/>
              </w:rPr>
              <w:t>蓝田县</w:t>
            </w:r>
            <w:r>
              <w:rPr>
                <w:rFonts w:ascii="仿宋_GB2312" w:hAnsi="仿宋_GB2312" w:cs="仿宋_GB2312" w:eastAsia="仿宋_GB2312"/>
                <w:sz w:val="28"/>
              </w:rPr>
              <w:t>工程造价信息》，《</w:t>
            </w:r>
            <w:r>
              <w:rPr>
                <w:rFonts w:ascii="仿宋_GB2312" w:hAnsi="仿宋_GB2312" w:cs="仿宋_GB2312" w:eastAsia="仿宋_GB2312"/>
                <w:sz w:val="28"/>
              </w:rPr>
              <w:t>蓝田县</w:t>
            </w:r>
            <w:r>
              <w:rPr>
                <w:rFonts w:ascii="仿宋_GB2312" w:hAnsi="仿宋_GB2312" w:cs="仿宋_GB2312" w:eastAsia="仿宋_GB2312"/>
                <w:sz w:val="28"/>
              </w:rPr>
              <w:t>工程造价信息》缺项的执行《陕西工程造价管理信息（</w:t>
            </w:r>
            <w:r>
              <w:rPr>
                <w:rFonts w:ascii="仿宋_GB2312" w:hAnsi="仿宋_GB2312" w:cs="仿宋_GB2312" w:eastAsia="仿宋_GB2312"/>
                <w:sz w:val="28"/>
              </w:rPr>
              <w:t>2025年12月</w:t>
            </w:r>
            <w:r>
              <w:rPr>
                <w:rFonts w:ascii="仿宋_GB2312" w:hAnsi="仿宋_GB2312" w:cs="仿宋_GB2312" w:eastAsia="仿宋_GB2312"/>
                <w:sz w:val="28"/>
              </w:rPr>
              <w:t>材料信息价）》，信息价与市场价差异较大的以市场价计入进行编制；</w:t>
            </w:r>
          </w:p>
          <w:p>
            <w:pPr>
              <w:pStyle w:val="null3"/>
              <w:ind w:firstLine="560"/>
              <w:jc w:val="both"/>
            </w:pPr>
            <w:r>
              <w:rPr>
                <w:rFonts w:ascii="仿宋_GB2312" w:hAnsi="仿宋_GB2312" w:cs="仿宋_GB2312" w:eastAsia="仿宋_GB2312"/>
                <w:sz w:val="28"/>
              </w:rPr>
              <w:t>7、其他；</w:t>
            </w:r>
          </w:p>
          <w:p>
            <w:pPr>
              <w:pStyle w:val="null3"/>
              <w:ind w:firstLine="560"/>
              <w:jc w:val="both"/>
            </w:pPr>
            <w:r>
              <w:rPr>
                <w:rFonts w:ascii="仿宋_GB2312" w:hAnsi="仿宋_GB2312" w:cs="仿宋_GB2312" w:eastAsia="仿宋_GB2312"/>
                <w:sz w:val="28"/>
              </w:rPr>
              <w:t>8、本工程量清单所提供工程项目特征仅表达了主要工程做法，组价时应依据设计图纸、相关图集，结合招标文件，合同条款，技术规范、图纸、答疑纪要等进行组价。</w:t>
            </w:r>
          </w:p>
          <w:p>
            <w:pPr>
              <w:pStyle w:val="null3"/>
              <w:ind w:firstLine="560"/>
              <w:jc w:val="both"/>
            </w:pPr>
            <w:r>
              <w:rPr>
                <w:rFonts w:ascii="仿宋_GB2312" w:hAnsi="仿宋_GB2312" w:cs="仿宋_GB2312" w:eastAsia="仿宋_GB2312"/>
                <w:sz w:val="28"/>
              </w:rPr>
              <w:t>9、部分工程借用陕西省市政设施维修养护定额（2012）；</w:t>
            </w:r>
          </w:p>
          <w:p>
            <w:pPr>
              <w:pStyle w:val="null3"/>
              <w:ind w:firstLine="560"/>
              <w:jc w:val="both"/>
            </w:pPr>
            <w:r>
              <w:rPr>
                <w:rFonts w:ascii="仿宋_GB2312" w:hAnsi="仿宋_GB2312" w:cs="仿宋_GB2312" w:eastAsia="仿宋_GB2312"/>
                <w:sz w:val="28"/>
              </w:rPr>
              <w:t>10、本工程量清单采用广联达云计价平台GCCP7.0</w:t>
            </w:r>
            <w:r>
              <w:rPr>
                <w:rFonts w:ascii="仿宋_GB2312" w:hAnsi="仿宋_GB2312" w:cs="仿宋_GB2312" w:eastAsia="仿宋_GB2312"/>
                <w:sz w:val="28"/>
              </w:rPr>
              <w:t>（</w:t>
            </w:r>
            <w:r>
              <w:rPr>
                <w:rFonts w:ascii="仿宋_GB2312" w:hAnsi="仿宋_GB2312" w:cs="仿宋_GB2312" w:eastAsia="仿宋_GB2312"/>
                <w:sz w:val="28"/>
              </w:rPr>
              <w:t>7.5000.23.2版本）</w:t>
            </w:r>
            <w:r>
              <w:rPr>
                <w:rFonts w:ascii="仿宋_GB2312" w:hAnsi="仿宋_GB2312" w:cs="仿宋_GB2312" w:eastAsia="仿宋_GB2312"/>
                <w:sz w:val="28"/>
              </w:rPr>
              <w:t>编制。</w:t>
            </w:r>
          </w:p>
          <w:p>
            <w:pPr>
              <w:pStyle w:val="null3"/>
              <w:ind w:firstLine="562"/>
              <w:jc w:val="both"/>
            </w:pPr>
            <w:r>
              <w:rPr>
                <w:rFonts w:ascii="仿宋_GB2312" w:hAnsi="仿宋_GB2312" w:cs="仿宋_GB2312" w:eastAsia="仿宋_GB2312"/>
                <w:sz w:val="28"/>
                <w:b/>
              </w:rPr>
              <w:t>2、工程量清单</w:t>
            </w:r>
          </w:p>
          <w:p>
            <w:pPr>
              <w:pStyle w:val="null3"/>
              <w:ind w:firstLine="560"/>
              <w:jc w:val="both"/>
            </w:pP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在施工期间，中标人必须注意施工人员的人身安全，加强安全措施，并对施工人员进行安全教育。</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合同价款：本项目为固定总价合同。</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rPr>
              <w:t>1）合同签订乙方进场后，甲方向乙方支付合同总价款的40%作为预付款 ；</w:t>
            </w:r>
          </w:p>
          <w:p>
            <w:pPr>
              <w:pStyle w:val="null3"/>
              <w:ind w:firstLine="560"/>
              <w:jc w:val="both"/>
            </w:pPr>
            <w:r>
              <w:rPr>
                <w:rFonts w:ascii="仿宋_GB2312" w:hAnsi="仿宋_GB2312" w:cs="仿宋_GB2312" w:eastAsia="仿宋_GB2312"/>
                <w:sz w:val="28"/>
              </w:rPr>
              <w:t>2）工程完工后，甲方组织有关部门验收合格后，支付合同总价款的40%；</w:t>
            </w:r>
          </w:p>
          <w:p>
            <w:pPr>
              <w:pStyle w:val="null3"/>
              <w:ind w:firstLine="560"/>
              <w:jc w:val="both"/>
            </w:pPr>
            <w:r>
              <w:rPr>
                <w:rFonts w:ascii="仿宋_GB2312" w:hAnsi="仿宋_GB2312" w:cs="仿宋_GB2312" w:eastAsia="仿宋_GB2312"/>
                <w:sz w:val="28"/>
              </w:rPr>
              <w:t>3）工程结算审核完成后支付至工程审核价款的20%。</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对供应商的业绩要求</w:t>
            </w:r>
          </w:p>
          <w:p>
            <w:pPr>
              <w:pStyle w:val="null3"/>
              <w:ind w:left="420" w:firstLine="504"/>
              <w:jc w:val="both"/>
            </w:pPr>
            <w:r>
              <w:rPr>
                <w:rFonts w:ascii="仿宋_GB2312" w:hAnsi="仿宋_GB2312" w:cs="仿宋_GB2312" w:eastAsia="仿宋_GB2312"/>
                <w:sz w:val="28"/>
              </w:rPr>
              <w:t>提供</w:t>
            </w:r>
            <w:r>
              <w:rPr>
                <w:rFonts w:ascii="仿宋_GB2312" w:hAnsi="仿宋_GB2312" w:cs="仿宋_GB2312" w:eastAsia="仿宋_GB2312"/>
                <w:sz w:val="28"/>
              </w:rPr>
              <w:t>20</w:t>
            </w: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日以来</w:t>
            </w:r>
            <w:r>
              <w:rPr>
                <w:rFonts w:ascii="仿宋_GB2312" w:hAnsi="仿宋_GB2312" w:cs="仿宋_GB2312" w:eastAsia="仿宋_GB2312"/>
                <w:sz w:val="28"/>
              </w:rPr>
              <w:t>类似</w:t>
            </w:r>
            <w:r>
              <w:rPr>
                <w:rFonts w:ascii="仿宋_GB2312" w:hAnsi="仿宋_GB2312" w:cs="仿宋_GB2312" w:eastAsia="仿宋_GB2312"/>
                <w:sz w:val="28"/>
              </w:rPr>
              <w:t>项目业绩，以合同签订日期为准，并加盖供应</w:t>
            </w:r>
            <w:r>
              <w:rPr>
                <w:rFonts w:ascii="仿宋_GB2312" w:hAnsi="仿宋_GB2312" w:cs="仿宋_GB2312" w:eastAsia="仿宋_GB2312"/>
                <w:sz w:val="28"/>
              </w:rPr>
              <w:t>商公章的合同关键页复印件。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质量验收标准或规范</w:t>
            </w:r>
          </w:p>
          <w:p>
            <w:pPr>
              <w:pStyle w:val="null3"/>
              <w:ind w:left="420" w:firstLine="280"/>
              <w:jc w:val="both"/>
            </w:pPr>
            <w:r>
              <w:rPr>
                <w:rFonts w:ascii="仿宋_GB2312" w:hAnsi="仿宋_GB2312" w:cs="仿宋_GB2312" w:eastAsia="仿宋_GB2312"/>
                <w:sz w:val="28"/>
              </w:rPr>
              <w:t>质量标准：</w:t>
            </w:r>
            <w:r>
              <w:rPr>
                <w:rFonts w:ascii="仿宋_GB2312" w:hAnsi="仿宋_GB2312" w:cs="仿宋_GB2312" w:eastAsia="仿宋_GB2312"/>
                <w:sz w:val="28"/>
              </w:rPr>
              <w:t>达到国家规定的合格标准</w:t>
            </w:r>
          </w:p>
          <w:p>
            <w:pPr>
              <w:pStyle w:val="null3"/>
              <w:ind w:left="420" w:firstLine="280"/>
              <w:jc w:val="both"/>
            </w:pPr>
            <w:r>
              <w:rPr>
                <w:rFonts w:ascii="仿宋_GB2312" w:hAnsi="仿宋_GB2312" w:cs="仿宋_GB2312" w:eastAsia="仿宋_GB2312"/>
                <w:sz w:val="28"/>
              </w:rPr>
              <w:t>验收标准或规范：</w:t>
            </w:r>
            <w:r>
              <w:rPr>
                <w:rFonts w:ascii="仿宋_GB2312" w:hAnsi="仿宋_GB2312" w:cs="仿宋_GB2312" w:eastAsia="仿宋_GB2312"/>
                <w:sz w:val="28"/>
              </w:rPr>
              <w:t>达到国家标准，行业标准及采购人要求。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违约责任</w:t>
            </w:r>
          </w:p>
          <w:p>
            <w:pPr>
              <w:pStyle w:val="null3"/>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应按照合同规定的期限完成</w:t>
            </w:r>
            <w:r>
              <w:rPr>
                <w:rFonts w:ascii="仿宋_GB2312" w:hAnsi="仿宋_GB2312" w:cs="仿宋_GB2312" w:eastAsia="仿宋_GB2312"/>
                <w:sz w:val="28"/>
              </w:rPr>
              <w:t>工程</w:t>
            </w:r>
            <w:r>
              <w:rPr>
                <w:rFonts w:ascii="仿宋_GB2312" w:hAnsi="仿宋_GB2312" w:cs="仿宋_GB2312" w:eastAsia="仿宋_GB2312"/>
                <w:sz w:val="28"/>
              </w:rPr>
              <w:t>，每延迟一天应承担当期应付款</w:t>
            </w:r>
            <w:r>
              <w:rPr>
                <w:rFonts w:ascii="仿宋_GB2312" w:hAnsi="仿宋_GB2312" w:cs="仿宋_GB2312" w:eastAsia="仿宋_GB2312"/>
                <w:sz w:val="28"/>
              </w:rPr>
              <w:t>2%的违约金，违约金累计不超过当期应付款10%。若违约金累计已达上限，乙方仍未履行，甲方有权解除合同。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与本工程相关的特别说明</w:t>
            </w:r>
          </w:p>
          <w:p>
            <w:pPr>
              <w:pStyle w:val="null3"/>
              <w:ind w:left="420"/>
              <w:jc w:val="both"/>
            </w:pPr>
            <w:r>
              <w:rPr>
                <w:rFonts w:ascii="仿宋_GB2312" w:hAnsi="仿宋_GB2312" w:cs="仿宋_GB2312" w:eastAsia="仿宋_GB2312"/>
                <w:sz w:val="28"/>
              </w:rPr>
              <w:t xml:space="preserve">   </w:t>
            </w:r>
            <w:r>
              <w:rPr>
                <w:rFonts w:ascii="仿宋_GB2312" w:hAnsi="仿宋_GB2312" w:cs="仿宋_GB2312" w:eastAsia="仿宋_GB2312"/>
                <w:sz w:val="28"/>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电子响应文件格式.docx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电子响应文件格式.docx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须提供建设行政主管部门颁发市政公用工程施工总承包三级（含三级）及以上资质，并具有合格有效的安全生产许可证；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拟派项目经理须具备市政公用工程专业二级注册建造师及安全生产考核合格证书，在本单位注册且无在建工程和不良记录（提供无在建工程、无不良记录承诺书）；</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提供响应文件递交时间前三个月内至少一个月已缴纳的纳税证明或完税证明凭据；其他组织和自然人提供响应文件递交时间前一年内至少一个月缴纳税收的凭据；依法免税的供应商应提供相关文件证明；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提供响应文件递交时间前三个月至少一个月已缴纳的社会保障资金的凭据（专用收据或社会保险缴纳清单）；依法不需要缴纳社会保障资金的供应商应提供相关文件证明；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具备履行合同所必需的设备和专业技术能力的证明材料(由供应商根据项目需求提供说明材料或承诺)；</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1）供应商在“全国建筑市场监管公共服务平台”可查询到企业及项目经理基本信息；（2）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3）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电子响应文件格式.docx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电子响应文件格式.docx 中小企业声明函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技术方案内容完全满足全部评审标准得8.0分； 技术方案内容基本满足全部评审标准得7.5分；技术方案内容每有一处缺陷扣0.5分，扣完为止，不计负分；其他或未提供得0分。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技术方案内容完全满足全部评审标准得6分； 技术方案内容基本满足全部评审标准得5.5分；技术方案内容每有一处缺陷扣0.5分，扣完为止，不计负分；其他或未提供得0分。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文明施工、环境保护及“治污减霾”措施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项目管理机构成员职责</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技术方案内容完全满足全部评审标准得8分； 技术方案内容基本满足全部评审标准得7.5分；技术方案内容每有一处缺陷扣0.5分，扣完为止，不计负分；其他或未提供得0分。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新技术、新产品、新工艺、新材料在施工过程中的应用</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技术方案内容完全满足全部评审标准得7分； 技术方案内容基本满足全部评审标准得6.5分；技术方案内容每有一处缺陷扣0.5分，扣完为止，不计负分；其他或未提供得0分。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2022年12月 1日以来类似项目业绩，以合同签订日期为准，并加盖供应商公章的合同关键页复印件。每提供一份得2分，最高得6分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电子响应文件格式.docx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电子响应文件格式.docx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详见附件：电子响应文件格式.docx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