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4F23C">
      <w:pPr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C8D6E86">
      <w:pPr>
        <w:pStyle w:val="3"/>
        <w:rPr>
          <w:rFonts w:hint="eastAsia"/>
        </w:rPr>
      </w:pPr>
    </w:p>
    <w:p w14:paraId="4E26AB92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076C6FD0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6FEFD69E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160"/>
          <w:szCs w:val="160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eastAsia="zh-CN"/>
        </w:rPr>
        <w:t>）</w:t>
      </w:r>
    </w:p>
    <w:p w14:paraId="25398C12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713B6226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7E91F2AB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473F1A9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6CAA798">
      <w:pPr>
        <w:widowControl/>
        <w:snapToGrid w:val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  <w:u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u w:val="none"/>
        </w:rPr>
        <w:t>服务采购合同</w:t>
      </w:r>
    </w:p>
    <w:p w14:paraId="4D4186DE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09318F5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2C27FF3C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646D333E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3EEC8239">
      <w:pPr>
        <w:spacing w:after="120"/>
        <w:ind w:firstLine="735"/>
        <w:textAlignment w:val="baseline"/>
        <w:rPr>
          <w:rFonts w:ascii="宋体" w:hAnsi="宋体" w:eastAsia="宋体" w:cs="宋体"/>
        </w:rPr>
      </w:pPr>
    </w:p>
    <w:p w14:paraId="3C696DF0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2F09D8EC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D42CB60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2465892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43E1B2D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</w:t>
      </w:r>
    </w:p>
    <w:p w14:paraId="37049272">
      <w:pPr>
        <w:widowControl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881924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乙方：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</w:t>
      </w:r>
    </w:p>
    <w:p w14:paraId="68CEC35A">
      <w:pPr>
        <w:widowControl/>
        <w:snapToGrid w:val="0"/>
        <w:spacing w:line="360" w:lineRule="auto"/>
        <w:ind w:firstLine="980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0A46FF1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762166D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4B25F33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7ECBE849">
      <w:pPr>
        <w:snapToGrid w:val="0"/>
        <w:spacing w:before="312" w:line="480" w:lineRule="atLeast"/>
        <w:ind w:firstLine="1265"/>
        <w:jc w:val="center"/>
        <w:textAlignment w:val="baseline"/>
        <w:rPr>
          <w:rFonts w:ascii="宋体" w:hAnsi="宋体" w:eastAsia="宋体" w:cs="宋体"/>
          <w:b/>
          <w:sz w:val="36"/>
          <w:szCs w:val="36"/>
        </w:rPr>
      </w:pPr>
    </w:p>
    <w:p w14:paraId="7B838AF8">
      <w:pPr>
        <w:spacing w:before="240" w:line="360" w:lineRule="auto"/>
        <w:ind w:firstLine="843"/>
        <w:jc w:val="center"/>
        <w:outlineLvl w:val="0"/>
        <w:rPr>
          <w:rFonts w:ascii="宋体" w:hAnsi="宋体" w:eastAsia="宋体" w:cs="宋体"/>
          <w:b/>
          <w:sz w:val="24"/>
        </w:rPr>
        <w:sectPr>
          <w:footerReference r:id="rId5" w:type="default"/>
          <w:pgSz w:w="11906" w:h="16838"/>
          <w:pgMar w:top="1440" w:right="1332" w:bottom="1440" w:left="1797" w:header="851" w:footer="992" w:gutter="0"/>
          <w:pgNumType w:fmt="decimal"/>
          <w:cols w:space="720" w:num="1"/>
          <w:docGrid w:linePitch="312" w:charSpace="0"/>
        </w:sectPr>
      </w:pPr>
    </w:p>
    <w:p w14:paraId="38814F34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                              </w:t>
      </w:r>
    </w:p>
    <w:p w14:paraId="1887F3F2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乙方（中标人）：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                              </w:t>
      </w:r>
    </w:p>
    <w:p w14:paraId="441809B3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(项目编号)</w:t>
      </w:r>
      <w:r>
        <w:rPr>
          <w:rFonts w:hint="eastAsia" w:ascii="宋体" w:hAnsi="宋体" w:eastAsia="宋体" w:cs="宋体"/>
          <w:bCs/>
          <w:sz w:val="24"/>
          <w:szCs w:val="24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采购代理机构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组织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公开</w:t>
      </w:r>
      <w:r>
        <w:rPr>
          <w:rFonts w:hint="eastAsia" w:ascii="宋体" w:hAnsi="宋体" w:eastAsia="宋体" w:cs="宋体"/>
          <w:bCs/>
          <w:sz w:val="24"/>
          <w:szCs w:val="24"/>
        </w:rPr>
        <w:t>招标，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(以下简称“甲方”)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确定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（以下简称“乙方”）</w:t>
      </w:r>
      <w:r>
        <w:rPr>
          <w:rFonts w:hint="eastAsia" w:ascii="宋体" w:hAnsi="宋体" w:eastAsia="宋体" w:cs="宋体"/>
          <w:bCs/>
          <w:sz w:val="24"/>
          <w:szCs w:val="24"/>
        </w:rPr>
        <w:t>为该项目的中标人。</w:t>
      </w:r>
    </w:p>
    <w:p w14:paraId="6DE1BDFC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284405D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EE01EF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元</w:t>
      </w:r>
      <w:r>
        <w:rPr>
          <w:rFonts w:hint="eastAsia" w:ascii="宋体" w:hAnsi="宋体" w:eastAsia="宋体" w:cs="宋体"/>
          <w:bCs/>
          <w:sz w:val="24"/>
          <w:szCs w:val="24"/>
        </w:rPr>
        <w:t>）。</w:t>
      </w:r>
    </w:p>
    <w:p w14:paraId="79521DD5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（二）合同总价包括但不限于本次项目药剂费、防治费、器具费、人员费及本项目所有风险等一切相关费用，服务期内采购人不再增加任何费用。 </w:t>
      </w:r>
    </w:p>
    <w:p w14:paraId="7246851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（三）合同总价一次性包死，不受市场价格变化因素的影响。</w:t>
      </w:r>
    </w:p>
    <w:p w14:paraId="14143AC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7CDE0BF5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（一）合同款的支付：</w:t>
      </w:r>
      <w:r>
        <w:rPr>
          <w:rFonts w:hint="eastAsia" w:ascii="宋体" w:hAnsi="宋体" w:eastAsia="宋体" w:cs="宋体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一次性付款，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防治作业结束，防治区域镇村出具作业面积认定凭证并经农业技术人员验收通过，项目专项资金到位后，一次性支付全部费用。</w:t>
      </w:r>
    </w:p>
    <w:p w14:paraId="131875D8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（二）结算方式：银行转账。</w:t>
      </w:r>
    </w:p>
    <w:p w14:paraId="1A212C3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（三）支付方式：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负责结算，合同签订后，乙方在接受付款前，开具全额发票给甲方。</w:t>
      </w:r>
    </w:p>
    <w:p w14:paraId="07998794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三、服务地点及服务期</w:t>
      </w:r>
    </w:p>
    <w:p w14:paraId="52AB45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（一）服务地点：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AA92D7B"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red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（二）服务期限：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15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/>
          <w:kern w:val="15"/>
          <w:sz w:val="24"/>
          <w:szCs w:val="24"/>
        </w:rPr>
        <w:t xml:space="preserve"> </w:t>
      </w:r>
    </w:p>
    <w:p w14:paraId="0CFF4DF9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采购人的权利和义务 </w:t>
      </w:r>
    </w:p>
    <w:p w14:paraId="326DACF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1.采购人有权对合同规定范围内供应商的服务行为进行监督和检查，拥有监管权。对采购人认为不合理的部分有权下达整改通知书，并要求供应商限期整改。 </w:t>
      </w:r>
    </w:p>
    <w:p w14:paraId="59B7ABA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2.负责检查监督供应商管理工作的实施及制度的执行情况。 </w:t>
      </w:r>
    </w:p>
    <w:p w14:paraId="4EC6873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3.根据本合同规定，按时向供应商支付应付服务费用。 </w:t>
      </w:r>
    </w:p>
    <w:p w14:paraId="4D71056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4.验收应按国家有关规定、规范进行验收，验收时将会邀请相关的专业人员或机构参与验收。 </w:t>
      </w:r>
    </w:p>
    <w:p w14:paraId="56C3229E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5.国家法律、法规所规定由采购人承担的其它责任。 </w:t>
      </w:r>
    </w:p>
    <w:p w14:paraId="27EA32AD"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五、供应商的权利和义务 </w:t>
      </w:r>
    </w:p>
    <w:p w14:paraId="1D9BDAB8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1.对本合同规定的委托服务范围内的服务义务。 </w:t>
      </w:r>
    </w:p>
    <w:p w14:paraId="4CBE9AF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2.根据本合同的规定向采购人收取相关服务费用，并有权在本项目管理范围内管理及合理使用。 </w:t>
      </w:r>
    </w:p>
    <w:p w14:paraId="677DCF9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3.及时向采购人通告本项目服务范围内有关服务的重大事项，及时配合处理采购人使用过程中出现的问题。 </w:t>
      </w:r>
    </w:p>
    <w:p w14:paraId="3CDD899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4.接受项目行业管理部门及政府有关部门的指导，接受采购人的监督。 </w:t>
      </w:r>
    </w:p>
    <w:p w14:paraId="497B0734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5.国家法律、法规所规定由供应商承担的其它责任。 </w:t>
      </w:r>
    </w:p>
    <w:p w14:paraId="127D696B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六、保密条款</w:t>
      </w:r>
    </w:p>
    <w:p w14:paraId="6DCCA15C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合同双方中的任何一方在合作过程中了解或接触到的 对方的商业秘密及其他秘密资料和信息（简称“保密信息”）均应保守秘密；未经对方书面同意，任何一方不得向媒介公开或向第三方透露、给予或转让保密信息。泄密的一方将对 另一方因此而受到的损失负完全赔偿责任并承担相应的法律责任。</w:t>
      </w:r>
    </w:p>
    <w:p w14:paraId="5CA9CCCE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七、其它事项</w:t>
      </w:r>
    </w:p>
    <w:p w14:paraId="41964353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（一）乙方不得将项目转让、分包给其它单位或个人。</w:t>
      </w:r>
    </w:p>
    <w:p w14:paraId="093A1824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（二）乙方的投标文件和承诺等内容将列入合同。</w:t>
      </w:r>
    </w:p>
    <w:p w14:paraId="52B920F9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七、违约责任</w:t>
      </w:r>
    </w:p>
    <w:p w14:paraId="12DBF6E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（一）《民法典》中的相关条款执行。</w:t>
      </w:r>
    </w:p>
    <w:p w14:paraId="4EDBB959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合同要求提供服务或服务质量不能满足采购方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62466846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5687B5D8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八、合同争议解决的方式</w:t>
      </w:r>
    </w:p>
    <w:p w14:paraId="693CEFE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</w:rPr>
        <w:t>种方式解决：</w:t>
      </w:r>
    </w:p>
    <w:p w14:paraId="55ECC2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3FE95EB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0BE7733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九、合同生效</w:t>
      </w:r>
    </w:p>
    <w:p w14:paraId="7596645E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（一）本合同经双方签字盖章后生效。</w:t>
      </w:r>
    </w:p>
    <w:p w14:paraId="006594D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7DA0C0F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（三）合同生效后，甲、乙双方须严格执行本合同条款的规定，全面履行合同，违者按《中华人民共和国民法典》的有关规定承担相应责任。</w:t>
      </w:r>
    </w:p>
    <w:p w14:paraId="60294182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（四）本合同一式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份。</w:t>
      </w:r>
    </w:p>
    <w:p w14:paraId="592553D1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（五）本合同如有未尽事宜，甲、乙双方协商解决。</w:t>
      </w:r>
    </w:p>
    <w:p w14:paraId="40512FE6">
      <w:pPr>
        <w:widowControl/>
        <w:tabs>
          <w:tab w:val="left" w:pos="480"/>
        </w:tabs>
        <w:spacing w:line="360" w:lineRule="auto"/>
        <w:ind w:firstLine="400" w:firstLineChars="200"/>
        <w:textAlignment w:val="baseline"/>
        <w:rPr>
          <w:rFonts w:ascii="宋体" w:hAnsi="宋体" w:eastAsia="宋体" w:cs="宋体"/>
          <w:spacing w:val="-20"/>
          <w:kern w:val="0"/>
          <w:sz w:val="24"/>
        </w:rPr>
      </w:pPr>
    </w:p>
    <w:tbl>
      <w:tblPr>
        <w:tblStyle w:val="6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D48197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679446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2180E137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乙  方</w:t>
            </w:r>
          </w:p>
        </w:tc>
      </w:tr>
      <w:tr w14:paraId="0181C18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201" w:type="dxa"/>
            <w:vAlign w:val="center"/>
          </w:tcPr>
          <w:p w14:paraId="6D3B262F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292A9D8B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</w:tr>
      <w:tr w14:paraId="13586E9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4201" w:type="dxa"/>
            <w:vAlign w:val="center"/>
          </w:tcPr>
          <w:p w14:paraId="206BE12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  <w:tc>
          <w:tcPr>
            <w:tcW w:w="4202" w:type="dxa"/>
            <w:vAlign w:val="center"/>
          </w:tcPr>
          <w:p w14:paraId="6ED0FF0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</w:tr>
      <w:tr w14:paraId="419B2CC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4201" w:type="dxa"/>
            <w:vAlign w:val="center"/>
          </w:tcPr>
          <w:p w14:paraId="48D6CFC9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184C595E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</w:tr>
    </w:tbl>
    <w:p w14:paraId="2A4A356A">
      <w:pPr>
        <w:widowControl/>
        <w:ind w:firstLine="735"/>
        <w:textAlignment w:val="baseline"/>
        <w:rPr>
          <w:rFonts w:ascii="Times New Roman" w:hAnsi="Times New Roman" w:eastAsia="宋体" w:cs="Times New Roman"/>
          <w:szCs w:val="20"/>
        </w:rPr>
      </w:pPr>
    </w:p>
    <w:p w14:paraId="208CED80">
      <w:pPr>
        <w:ind w:firstLine="735"/>
      </w:pPr>
    </w:p>
    <w:p w14:paraId="1DC90A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6586C8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115B51D">
      <w:pPr>
        <w:pStyle w:val="3"/>
        <w:spacing w:before="160" w:line="219" w:lineRule="auto"/>
        <w:ind w:left="2953"/>
        <w:rPr>
          <w:spacing w:val="-15"/>
          <w:sz w:val="24"/>
          <w:szCs w:val="24"/>
        </w:rPr>
      </w:pPr>
    </w:p>
    <w:p w14:paraId="220FAA49"/>
    <w:p w14:paraId="1E1BDA8E"/>
    <w:p w14:paraId="57852CED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ECE52">
    <w:pPr>
      <w:tabs>
        <w:tab w:val="center" w:pos="4153"/>
        <w:tab w:val="right" w:pos="8306"/>
      </w:tabs>
      <w:snapToGrid w:val="0"/>
      <w:ind w:right="360"/>
      <w:jc w:val="right"/>
      <w:textAlignment w:val="baseline"/>
      <w:rPr>
        <w:rFonts w:ascii="Times New Roman" w:hAnsi="Times New Roman" w:eastAsia="宋体" w:cs="Times New Roman"/>
        <w:sz w:val="18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A3D3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5A3D3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1E87A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sz w:val="18"/>
                            </w:rPr>
                          </w:pPr>
                        </w:p>
                        <w:p w14:paraId="16121F56">
                          <w:pPr>
                            <w:widowControl/>
                            <w:textAlignment w:val="baseline"/>
                            <w:rPr>
                              <w:rFonts w:ascii="Times New Roman" w:hAnsi="Times New Roman" w:eastAsia="宋体" w:cs="Times New Roman"/>
                              <w:szCs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pPZA0gAAAAUBAAAPAAAAAAAAAAEAIAAAACIAAABkcnMvZG93bnJldi54bWxQSwECFAAUAAAACACH&#10;TuJA1eqOe7gBAACBAwAADgAAAAAAAAABACAAAAAh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1E87A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sz w:val="18"/>
                      </w:rPr>
                    </w:pPr>
                  </w:p>
                  <w:p w14:paraId="16121F56">
                    <w:pPr>
                      <w:widowControl/>
                      <w:textAlignment w:val="baseline"/>
                      <w:rPr>
                        <w:rFonts w:ascii="Times New Roman" w:hAnsi="Times New Roman" w:eastAsia="宋体" w:cs="Times New Roman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4ACEE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32898"/>
    <w:rsid w:val="3618174E"/>
    <w:rsid w:val="4E8D1958"/>
    <w:rsid w:val="7313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"/>
      <w:ind w:left="836" w:right="836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1463</Words>
  <Characters>1475</Characters>
  <Lines>0</Lines>
  <Paragraphs>0</Paragraphs>
  <TotalTime>0</TotalTime>
  <ScaleCrop>false</ScaleCrop>
  <LinksUpToDate>false</LinksUpToDate>
  <CharactersWithSpaces>1728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2025-06-04T07:09:00Z</dcterms:created>
  <dc:creator>叶永健</dc:creator>
  <cp:lastModifiedBy>Forest</cp:lastModifiedBy>
  <dcterms:modified xsi:type="dcterms:W3CDTF">2026-01-13T01:23:38Z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D62B26659CB9466998C77B0A7435DE7C_11</vt:lpwstr>
  </property>
  <property fmtid="{D5CDD505-2E9C-101B-9397-08002B2CF9AE}" pid="4" name="KSOTemplateDocerSaveRecord">
    <vt:lpwstr>eyJoZGlkIjoiYWFhMjkxNWE0ZmFlZDdhMWE0ZTY4M2NkMjNjNDQ4MjciLCJ1c2VySWQiOiIxNjk0NDE5OTA3In0=</vt:lpwstr>
  </property>
</Properties>
</file>