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版本号：SDZC2026-01420260119001</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2025年第一批省级农业专项资金（粮油绿色高效提单产）项目(二次)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SDZC2026-014</w:t>
      </w:r>
      <w:r>
        <w:br/>
      </w:r>
      <w:r>
        <w:br/>
      </w:r>
      <w:r>
        <w:br/>
      </w:r>
    </w:p>
    <w:p>
      <w:pPr>
        <w:pStyle w:val="null3"/>
        <w:jc w:val="center"/>
        <w:outlineLvl w:val="2"/>
      </w:pPr>
      <w:r>
        <w:rPr>
          <w:rFonts w:ascii="仿宋_GB2312" w:hAnsi="仿宋_GB2312" w:cs="仿宋_GB2312" w:eastAsia="仿宋_GB2312"/>
          <w:sz w:val="28"/>
          <w:b/>
        </w:rPr>
        <w:t>西安市蓝田县农业技术推广中心</w:t>
      </w:r>
    </w:p>
    <w:p>
      <w:pPr>
        <w:pStyle w:val="null3"/>
        <w:jc w:val="center"/>
        <w:outlineLvl w:val="2"/>
      </w:pPr>
      <w:r>
        <w:rPr>
          <w:rFonts w:ascii="仿宋_GB2312" w:hAnsi="仿宋_GB2312" w:cs="仿宋_GB2312" w:eastAsia="仿宋_GB2312"/>
          <w:sz w:val="28"/>
          <w:b/>
        </w:rPr>
        <w:t>陕西上德招标有限公司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2026年01月19日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陕西上德招标有限公司</w:t>
      </w:r>
      <w:r>
        <w:rPr>
          <w:rFonts w:ascii="仿宋_GB2312" w:hAnsi="仿宋_GB2312" w:cs="仿宋_GB2312" w:eastAsia="仿宋_GB2312"/>
        </w:rPr>
        <w:t>（以下简称“代理机构”）受</w:t>
      </w:r>
      <w:r>
        <w:rPr>
          <w:rFonts w:ascii="仿宋_GB2312" w:hAnsi="仿宋_GB2312" w:cs="仿宋_GB2312" w:eastAsia="仿宋_GB2312"/>
        </w:rPr>
        <w:t>西安市蓝田县农业技术推广中心</w:t>
      </w:r>
      <w:r>
        <w:rPr>
          <w:rFonts w:ascii="仿宋_GB2312" w:hAnsi="仿宋_GB2312" w:cs="仿宋_GB2312" w:eastAsia="仿宋_GB2312"/>
        </w:rPr>
        <w:t>委托，拟对</w:t>
      </w:r>
      <w:r>
        <w:rPr>
          <w:rFonts w:ascii="仿宋_GB2312" w:hAnsi="仿宋_GB2312" w:cs="仿宋_GB2312" w:eastAsia="仿宋_GB2312"/>
        </w:rPr>
        <w:t>2025年第一批省级农业专项资金（粮油绿色高效提单产）项目(二次)</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SDZC2026-014</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2025年第一批省级农业专项资金（粮油绿色高效提单产）项目(二次)</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小麦、玉米追肥用氮肥及油菜配方肥；玉米“一喷多促”药剂及统防统治。</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提供供应商合法注册的法人或其他组织的营业执照/事业单位法人证书/非企业专业服务机构执业许可证/民办非企业单位登记证书：提供供应商合法注册的法人或其他组织的营业执照/事业单位法人证书/非企业专业服务机构执业许可证/民办非企业单位登记证书</w:t>
      </w:r>
    </w:p>
    <w:p>
      <w:pPr>
        <w:pStyle w:val="null3"/>
      </w:pPr>
      <w:r>
        <w:rPr>
          <w:rFonts w:ascii="仿宋_GB2312" w:hAnsi="仿宋_GB2312" w:cs="仿宋_GB2312" w:eastAsia="仿宋_GB2312"/>
        </w:rPr>
        <w:t>2、财务状况报告：财务状况报告：提供具有财务审计资质单位出具合法有效的2024年度财务报告（成立时间至开标时间不足一年的可提供成立后任意时段的资产负债表）或开标前六个月内其基本账户银行出具的资信证明或政府采购信用担保机构出具的担保函</w:t>
      </w:r>
    </w:p>
    <w:p>
      <w:pPr>
        <w:pStyle w:val="null3"/>
      </w:pPr>
      <w:r>
        <w:rPr>
          <w:rFonts w:ascii="仿宋_GB2312" w:hAnsi="仿宋_GB2312" w:cs="仿宋_GB2312" w:eastAsia="仿宋_GB2312"/>
        </w:rPr>
        <w:t>3、税收缴纳证明：税收缴纳证明：提供2025年2月至今任意一个月的缴纳凭据（增值税、企业所得税至少一种）；（依法免税的供应商应提供相关文件证明）</w:t>
      </w:r>
    </w:p>
    <w:p>
      <w:pPr>
        <w:pStyle w:val="null3"/>
      </w:pPr>
      <w:r>
        <w:rPr>
          <w:rFonts w:ascii="仿宋_GB2312" w:hAnsi="仿宋_GB2312" w:cs="仿宋_GB2312" w:eastAsia="仿宋_GB2312"/>
        </w:rPr>
        <w:t>4、社会保障资金缴纳证明：社会保障资金缴纳证明：提供2025年7月至今任意一个月的社保缴纳凭据或社保机构开具的社会保险参保缴纳情况证明；（依法不需要缴纳社会保障资金的供应商应提供相关证明）</w:t>
      </w:r>
    </w:p>
    <w:p>
      <w:pPr>
        <w:pStyle w:val="null3"/>
      </w:pPr>
      <w:r>
        <w:rPr>
          <w:rFonts w:ascii="仿宋_GB2312" w:hAnsi="仿宋_GB2312" w:cs="仿宋_GB2312" w:eastAsia="仿宋_GB2312"/>
        </w:rPr>
        <w:t>5、提供具有履行本合同所必需的设备和专业技术能力的说明及承诺：提供具有履行本合同所必需的设备和专业技术能力的说明及承诺；（提供书面说明及承诺，加盖供应商公章）</w:t>
      </w:r>
    </w:p>
    <w:p>
      <w:pPr>
        <w:pStyle w:val="null3"/>
      </w:pPr>
      <w:r>
        <w:rPr>
          <w:rFonts w:ascii="仿宋_GB2312" w:hAnsi="仿宋_GB2312" w:cs="仿宋_GB2312" w:eastAsia="仿宋_GB2312"/>
        </w:rPr>
        <w:t>6、提供参加政府采购活动前三年内在经营活动中没有重大违法记录的书面声明：提供参加政府采购活动前三年内在经营活动中没有重大违法记录的书面声明（提供书面声明，加盖供应商公章）</w:t>
      </w:r>
    </w:p>
    <w:p>
      <w:pPr>
        <w:pStyle w:val="null3"/>
      </w:pPr>
      <w:r>
        <w:rPr>
          <w:rFonts w:ascii="仿宋_GB2312" w:hAnsi="仿宋_GB2312" w:cs="仿宋_GB2312" w:eastAsia="仿宋_GB2312"/>
        </w:rPr>
        <w:t>7、法定代表人授权委托书：法定代表人授权委托书（附法定代表人身份证复印件及被授权人身份证复印件）；法定代表人直接参加谈判提供法定代表人资格证明书（附法定代表人身份证复印件）；采购文件凡是法定代表人之处，非法人单位的负责人均参照执行；（式样见响应文件格式）</w:t>
      </w:r>
    </w:p>
    <w:p>
      <w:pPr>
        <w:pStyle w:val="null3"/>
      </w:pPr>
      <w:r>
        <w:rPr>
          <w:rFonts w:ascii="仿宋_GB2312" w:hAnsi="仿宋_GB2312" w:cs="仿宋_GB2312" w:eastAsia="仿宋_GB2312"/>
        </w:rPr>
        <w:t>8、配方肥资质要求：配方肥提供生产厂家有效期内的肥料登记证或农业农村部登记备案证明</w:t>
      </w:r>
    </w:p>
    <w:p>
      <w:pPr>
        <w:pStyle w:val="null3"/>
      </w:pPr>
      <w:r>
        <w:rPr>
          <w:rFonts w:ascii="仿宋_GB2312" w:hAnsi="仿宋_GB2312" w:cs="仿宋_GB2312" w:eastAsia="仿宋_GB2312"/>
        </w:rPr>
        <w:t>9、氮肥资质要求：氮肥提供生产厂家全国工业产品生产许可证</w:t>
      </w:r>
    </w:p>
    <w:p>
      <w:pPr>
        <w:pStyle w:val="null3"/>
      </w:pPr>
      <w:r>
        <w:rPr>
          <w:rFonts w:ascii="仿宋_GB2312" w:hAnsi="仿宋_GB2312" w:cs="仿宋_GB2312" w:eastAsia="仿宋_GB2312"/>
        </w:rPr>
        <w:t>10、信用查询：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根据财库【2019】38号文规定，此项由采购人在谈判截止日当天在“信用中国”网站和中国政府采购网站进行查询，截图留档；如网站无供应商信息的，供应商须提供相关证明资料或书面声明）</w:t>
      </w:r>
    </w:p>
    <w:p>
      <w:pPr>
        <w:pStyle w:val="null3"/>
      </w:pPr>
      <w:r>
        <w:rPr>
          <w:rFonts w:ascii="仿宋_GB2312" w:hAnsi="仿宋_GB2312" w:cs="仿宋_GB2312" w:eastAsia="仿宋_GB2312"/>
        </w:rPr>
        <w:t>11、控股关系查询：单位负责人为同一人或者存在直接控股、管理关系的不同供应商，不得参加同一合同项下的政府采购活动。（根据财库【2019】38号文规定，此项由采购人在谈判截止日当天在“国家企业信用信息公示系统”进行查询，截图留档；如网站无供应商信息的，供应商须提供相关证明资料或书面声明）</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提供供应商合法注册的法人或其他组织的营业执照/事业单位法人证书/非企业专业服务机构执业许可证/民办非企业单位登记证书：提供供应商合法注册的法人或其他组织的营业执照/事业单位法人证书/非企业专业服务机构执业许可证/民办非企业单位登记证书</w:t>
      </w:r>
    </w:p>
    <w:p>
      <w:pPr>
        <w:pStyle w:val="null3"/>
      </w:pPr>
      <w:r>
        <w:rPr>
          <w:rFonts w:ascii="仿宋_GB2312" w:hAnsi="仿宋_GB2312" w:cs="仿宋_GB2312" w:eastAsia="仿宋_GB2312"/>
        </w:rPr>
        <w:t>2、财务状况报告：财务状况报告：提供具有财务审计资质单位出具合法有效的2024年度财务报告（成立时间至开标时间不足一年的可提供成立后任意时段的资产负债表）或开标前六个月内其基本账户银行出具的资信证明或政府采购信用担保机构出具的担保函</w:t>
      </w:r>
    </w:p>
    <w:p>
      <w:pPr>
        <w:pStyle w:val="null3"/>
      </w:pPr>
      <w:r>
        <w:rPr>
          <w:rFonts w:ascii="仿宋_GB2312" w:hAnsi="仿宋_GB2312" w:cs="仿宋_GB2312" w:eastAsia="仿宋_GB2312"/>
        </w:rPr>
        <w:t>3、税收缴纳证明：税收缴纳证明：提供2025年2月至今任意一个月的缴纳凭据（增值税、企业所得税至少一种）；（依法免税的供应商应提供相关文件证明）</w:t>
      </w:r>
    </w:p>
    <w:p>
      <w:pPr>
        <w:pStyle w:val="null3"/>
      </w:pPr>
      <w:r>
        <w:rPr>
          <w:rFonts w:ascii="仿宋_GB2312" w:hAnsi="仿宋_GB2312" w:cs="仿宋_GB2312" w:eastAsia="仿宋_GB2312"/>
        </w:rPr>
        <w:t>4、社会保障资金缴纳证明：社会保障资金缴纳证明：提供2025年7月至今任意一个月的社保缴纳凭据或社保机构开具的社会保险参保缴纳情况证明；（依法不需要缴纳社会保障资金的供应商应提供相关证明）</w:t>
      </w:r>
    </w:p>
    <w:p>
      <w:pPr>
        <w:pStyle w:val="null3"/>
      </w:pPr>
      <w:r>
        <w:rPr>
          <w:rFonts w:ascii="仿宋_GB2312" w:hAnsi="仿宋_GB2312" w:cs="仿宋_GB2312" w:eastAsia="仿宋_GB2312"/>
        </w:rPr>
        <w:t>5、提供具有履行本合同所必需的设备和专业技术能力的说明及承诺：提供具有履行本合同所必需的设备和专业技术能力的说明及承诺；（提供书面说明及承诺，加盖供应商公章）</w:t>
      </w:r>
    </w:p>
    <w:p>
      <w:pPr>
        <w:pStyle w:val="null3"/>
      </w:pPr>
      <w:r>
        <w:rPr>
          <w:rFonts w:ascii="仿宋_GB2312" w:hAnsi="仿宋_GB2312" w:cs="仿宋_GB2312" w:eastAsia="仿宋_GB2312"/>
        </w:rPr>
        <w:t>6、提供参加政府采购活动前三年内在经营活动中没有重大违法记录的书面声明：提供参加政府采购活动前三年内在经营活动中没有重大违法记录的书面声明（提供书面声明，加盖供应商公章）</w:t>
      </w:r>
    </w:p>
    <w:p>
      <w:pPr>
        <w:pStyle w:val="null3"/>
      </w:pPr>
      <w:r>
        <w:rPr>
          <w:rFonts w:ascii="仿宋_GB2312" w:hAnsi="仿宋_GB2312" w:cs="仿宋_GB2312" w:eastAsia="仿宋_GB2312"/>
        </w:rPr>
        <w:t>7、法定代表人授权委托书：法定代表人授权委托书（附法定代表人身份证复印件及被授权人身份证复印件）；法定代表人直接参加谈判提供法定代表人资格证明书（附法定代表人身份证复印件）；采购文件凡是法定代表人之处，非法人单位的负责人均参照执行；（式样见响应文件格式）</w:t>
      </w:r>
    </w:p>
    <w:p>
      <w:pPr>
        <w:pStyle w:val="null3"/>
      </w:pPr>
      <w:r>
        <w:rPr>
          <w:rFonts w:ascii="仿宋_GB2312" w:hAnsi="仿宋_GB2312" w:cs="仿宋_GB2312" w:eastAsia="仿宋_GB2312"/>
        </w:rPr>
        <w:t>8、氮肥资质要求：氮肥提供生产厂家全国工业产品生产许可证</w:t>
      </w:r>
    </w:p>
    <w:p>
      <w:pPr>
        <w:pStyle w:val="null3"/>
      </w:pPr>
      <w:r>
        <w:rPr>
          <w:rFonts w:ascii="仿宋_GB2312" w:hAnsi="仿宋_GB2312" w:cs="仿宋_GB2312" w:eastAsia="仿宋_GB2312"/>
        </w:rPr>
        <w:t>9、信用查询：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根据财库【2019】38号文规定，此项由采购人在谈判截止日当天在“信用中国”网站和中国政府采购网站进行查询，截图留档；如网站无供应商信息的，供应商须提供相关证明资料或书面声明）</w:t>
      </w:r>
    </w:p>
    <w:p>
      <w:pPr>
        <w:pStyle w:val="null3"/>
      </w:pPr>
      <w:r>
        <w:rPr>
          <w:rFonts w:ascii="仿宋_GB2312" w:hAnsi="仿宋_GB2312" w:cs="仿宋_GB2312" w:eastAsia="仿宋_GB2312"/>
        </w:rPr>
        <w:t>10、控股关系查询：单位负责人为同一人或者存在直接控股、管理关系的不同供应商，不得参加同一合同项下的政府采购活动。（根据财库【2019】38号文规定，此项由采购人在谈判截止日当天在“国家企业信用信息公示系统”进行查询，截图留档；如网站无供应商信息的，供应商须提供相关证明资料或书面声明）</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提供供应商合法注册的法人或其他组织的营业执照/事业单位法人证书/非企业专业服务机构执业许可证/民办非企业单位登记证书：提供供应商合法注册的法人或其他组织的营业执照/事业单位法人证书/非企业专业服务机构执业许可证/民办非企业单位登记证书</w:t>
      </w:r>
    </w:p>
    <w:p>
      <w:pPr>
        <w:pStyle w:val="null3"/>
      </w:pPr>
      <w:r>
        <w:rPr>
          <w:rFonts w:ascii="仿宋_GB2312" w:hAnsi="仿宋_GB2312" w:cs="仿宋_GB2312" w:eastAsia="仿宋_GB2312"/>
        </w:rPr>
        <w:t>2、财务状况报告：财务状况报告：提供具有财务审计资质单位出具合法有效的2024年度财务报告（成立时间至开标时间不足一年的可提供成立后任意时段的资产负债表）或开标前六个月内其基本账户银行出具的资信证明或政府采购信用担保机构出具的担保函</w:t>
      </w:r>
    </w:p>
    <w:p>
      <w:pPr>
        <w:pStyle w:val="null3"/>
      </w:pPr>
      <w:r>
        <w:rPr>
          <w:rFonts w:ascii="仿宋_GB2312" w:hAnsi="仿宋_GB2312" w:cs="仿宋_GB2312" w:eastAsia="仿宋_GB2312"/>
        </w:rPr>
        <w:t>3、税收缴纳证明：税收缴纳证明：提供2025年2月至今任意一个月的缴纳凭据（增值税、企业所得税至少一种）；（依法免税的供应商应提供相关文件证明）</w:t>
      </w:r>
    </w:p>
    <w:p>
      <w:pPr>
        <w:pStyle w:val="null3"/>
      </w:pPr>
      <w:r>
        <w:rPr>
          <w:rFonts w:ascii="仿宋_GB2312" w:hAnsi="仿宋_GB2312" w:cs="仿宋_GB2312" w:eastAsia="仿宋_GB2312"/>
        </w:rPr>
        <w:t>4、社会保障资金缴纳证明：社会保障资金缴纳证明：提供2025年7月至今任意一个月的社保缴纳凭据或社保机构开具的社会保险参保缴纳情况证明；（依法不需要缴纳社会保障资金的供应商应提供相关证明）</w:t>
      </w:r>
    </w:p>
    <w:p>
      <w:pPr>
        <w:pStyle w:val="null3"/>
      </w:pPr>
      <w:r>
        <w:rPr>
          <w:rFonts w:ascii="仿宋_GB2312" w:hAnsi="仿宋_GB2312" w:cs="仿宋_GB2312" w:eastAsia="仿宋_GB2312"/>
        </w:rPr>
        <w:t>5、提供具有履行本合同所必需的设备和专业技术能力的说明及承诺：提供具有履行本合同所必需的设备和专业技术能力的说明及承诺；（提供书面说明及承诺，加盖供应商公章）</w:t>
      </w:r>
    </w:p>
    <w:p>
      <w:pPr>
        <w:pStyle w:val="null3"/>
      </w:pPr>
      <w:r>
        <w:rPr>
          <w:rFonts w:ascii="仿宋_GB2312" w:hAnsi="仿宋_GB2312" w:cs="仿宋_GB2312" w:eastAsia="仿宋_GB2312"/>
        </w:rPr>
        <w:t>6、提供参加政府采购活动前三年内在经营活动中没有重大违法记录的书面声明：提供参加政府采购活动前三年内在经营活动中没有重大违法记录的书面声明（提供书面声明，加盖供应商公章）</w:t>
      </w:r>
    </w:p>
    <w:p>
      <w:pPr>
        <w:pStyle w:val="null3"/>
      </w:pPr>
      <w:r>
        <w:rPr>
          <w:rFonts w:ascii="仿宋_GB2312" w:hAnsi="仿宋_GB2312" w:cs="仿宋_GB2312" w:eastAsia="仿宋_GB2312"/>
        </w:rPr>
        <w:t>7、法定代表人授权委托书：法定代表人授权委托书（附法定代表人身份证复印件及被授权人身份证复印件）；法定代表人直接参加谈判提供法定代表人资格证明书（附法定代表人身份证复印件）；采购文件凡是法定代表人之处，非法人单位的负责人均参照执行；（式样见响应文件格式）</w:t>
      </w:r>
    </w:p>
    <w:p>
      <w:pPr>
        <w:pStyle w:val="null3"/>
      </w:pPr>
      <w:r>
        <w:rPr>
          <w:rFonts w:ascii="仿宋_GB2312" w:hAnsi="仿宋_GB2312" w:cs="仿宋_GB2312" w:eastAsia="仿宋_GB2312"/>
        </w:rPr>
        <w:t>8、所投药剂资质要求：供应商须具有农药经营许可证，并提供所投药剂生产厂家合法有效的农药登记证、农药生产许可证、农药产品标准证</w:t>
      </w:r>
    </w:p>
    <w:p>
      <w:pPr>
        <w:pStyle w:val="null3"/>
      </w:pPr>
      <w:r>
        <w:rPr>
          <w:rFonts w:ascii="仿宋_GB2312" w:hAnsi="仿宋_GB2312" w:cs="仿宋_GB2312" w:eastAsia="仿宋_GB2312"/>
        </w:rPr>
        <w:t>9、飞防作业资质要求：民用无人驾驶航空器经营许可证或民用无人驾驶航空器运营合格证</w:t>
      </w:r>
    </w:p>
    <w:p>
      <w:pPr>
        <w:pStyle w:val="null3"/>
      </w:pPr>
      <w:r>
        <w:rPr>
          <w:rFonts w:ascii="仿宋_GB2312" w:hAnsi="仿宋_GB2312" w:cs="仿宋_GB2312" w:eastAsia="仿宋_GB2312"/>
        </w:rPr>
        <w:t>10、信用查询：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根据财库【2019】38号文规定，此项由采购人在谈判截止日当天在“信用中国”网站和中国政府采购网站进行查询，截图留档；如网站无供应商信息的，供应商须提供相关证明资料或书面声明）</w:t>
      </w:r>
    </w:p>
    <w:p>
      <w:pPr>
        <w:pStyle w:val="null3"/>
      </w:pPr>
      <w:r>
        <w:rPr>
          <w:rFonts w:ascii="仿宋_GB2312" w:hAnsi="仿宋_GB2312" w:cs="仿宋_GB2312" w:eastAsia="仿宋_GB2312"/>
        </w:rPr>
        <w:t>11、控股关系查询：单位负责人为同一人或者存在直接控股、管理关系的不同供应商，不得参加同一合同项下的政府采购活动。（根据财库【2019】38号文规定，此项由采购人在谈判截止日当天在“国家企业信用信息公示系统”进行查询，截图留档；如网站无供应商信息的，供应商须提供相关证明资料或书面声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西安市蓝田县农业技术推广中心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蓝田县北环路18号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710500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王珂</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15129569522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陕西上德招标有限公司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西安市经开区凤城八路正尚国际金融广场A座7层703</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宋芳芳（4号工位）、王涛、魏蕾</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029-86673953/86518381/89299829/89293231转804</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蓝田县政府采购管理股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张 驰</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82721045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采购包1：363,000.00元</w:t>
            </w:r>
          </w:p>
          <w:p>
            <w:pPr>
              <w:pStyle w:val="null3"/>
            </w:pPr>
            <w:r>
              <w:rPr>
                <w:rFonts w:ascii="仿宋_GB2312" w:hAnsi="仿宋_GB2312" w:cs="仿宋_GB2312" w:eastAsia="仿宋_GB2312"/>
              </w:rPr>
              <w:t>采购包2：460,000.00元</w:t>
            </w:r>
          </w:p>
          <w:p>
            <w:pPr>
              <w:pStyle w:val="null3"/>
            </w:pPr>
            <w:r>
              <w:rPr>
                <w:rFonts w:ascii="仿宋_GB2312" w:hAnsi="仿宋_GB2312" w:cs="仿宋_GB2312" w:eastAsia="仿宋_GB2312"/>
              </w:rPr>
              <w:t>采购包3：200,000.00元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p>
            <w:pPr>
              <w:pStyle w:val="null3"/>
            </w:pPr>
            <w:r>
              <w:rPr>
                <w:rFonts w:ascii="仿宋_GB2312" w:hAnsi="仿宋_GB2312" w:cs="仿宋_GB2312" w:eastAsia="仿宋_GB2312"/>
              </w:rPr>
              <w:t>采购包3：不缴纳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原《国家计委关于印发&lt;招标代理服务收费管理暂行办法&gt;的通知》(计价格〔2002〕1980号)、《国家发展改革委关于降低部分建设项目收费标准规范收费行为等有关问题的通知》(发改价格〔2011〕534号)规定执行。 汇款账户： 1.开户行名称：陕西上德招标有限公司 2.开户行：西安银行股份有限公司文景路支行 3.帐 号：707011510000013522 财务部联系方式：029-86673953、86518381、89299829、89293231 转814或813 备注：投标人在汇款时须注明项目编号+项目简称</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西安市蓝田县农业技术推广中心</w:t>
      </w:r>
      <w:r>
        <w:rPr>
          <w:rFonts w:ascii="仿宋_GB2312" w:hAnsi="仿宋_GB2312" w:cs="仿宋_GB2312" w:eastAsia="仿宋_GB2312"/>
        </w:rPr>
        <w:t>和</w:t>
      </w:r>
      <w:r>
        <w:rPr>
          <w:rFonts w:ascii="仿宋_GB2312" w:hAnsi="仿宋_GB2312" w:cs="仿宋_GB2312" w:eastAsia="仿宋_GB2312"/>
        </w:rPr>
        <w:t>陕西上德招标有限公司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西安市蓝田县农业技术推广中心</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陕西上德招标有限公司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西安市蓝田县农业技术推广中心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陕西上德招标有限公司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60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符合国家的标准和有关规定</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符合国家的标准和有关规定</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符合国家的标准和有关规定</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陕西上德招标有限公司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陕西上德招标有限公司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陕西上德招标有限公司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联系人：宋芳芳（4号工位）、王涛、魏蕾</w:t>
      </w:r>
    </w:p>
    <w:p>
      <w:pPr>
        <w:pStyle w:val="null3"/>
      </w:pPr>
      <w:r>
        <w:rPr>
          <w:rFonts w:ascii="仿宋_GB2312" w:hAnsi="仿宋_GB2312" w:cs="仿宋_GB2312" w:eastAsia="仿宋_GB2312"/>
        </w:rPr>
        <w:t>联系电话：029-86673953/86518381/89299829/89293231转804</w:t>
      </w:r>
    </w:p>
    <w:p>
      <w:pPr>
        <w:pStyle w:val="null3"/>
      </w:pPr>
      <w:r>
        <w:rPr>
          <w:rFonts w:ascii="仿宋_GB2312" w:hAnsi="仿宋_GB2312" w:cs="仿宋_GB2312" w:eastAsia="仿宋_GB2312"/>
        </w:rPr>
        <w:t>地址：西安市经开区凤城八路正尚国际金融广场A座7层703</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小麦、玉米追肥用氮肥及油菜配方肥；玉米“一喷多促”药剂及统防统治。</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363,000.00</w:t>
      </w:r>
    </w:p>
    <w:p>
      <w:pPr>
        <w:pStyle w:val="null3"/>
      </w:pPr>
      <w:r>
        <w:rPr>
          <w:rFonts w:ascii="仿宋_GB2312" w:hAnsi="仿宋_GB2312" w:cs="仿宋_GB2312" w:eastAsia="仿宋_GB2312"/>
        </w:rPr>
        <w:t>采购包最高限价（元）: 363,000.00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肥料</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363,000.00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460,000.00</w:t>
      </w:r>
    </w:p>
    <w:p>
      <w:pPr>
        <w:pStyle w:val="null3"/>
      </w:pPr>
      <w:r>
        <w:rPr>
          <w:rFonts w:ascii="仿宋_GB2312" w:hAnsi="仿宋_GB2312" w:cs="仿宋_GB2312" w:eastAsia="仿宋_GB2312"/>
        </w:rPr>
        <w:t>采购包最高限价（元）: 460,000.00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氮肥</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460,000.00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200,000.00</w:t>
      </w:r>
    </w:p>
    <w:p>
      <w:pPr>
        <w:pStyle w:val="null3"/>
      </w:pPr>
      <w:r>
        <w:rPr>
          <w:rFonts w:ascii="仿宋_GB2312" w:hAnsi="仿宋_GB2312" w:cs="仿宋_GB2312" w:eastAsia="仿宋_GB2312"/>
        </w:rPr>
        <w:t>采购包最高限价（元）: 200,000.00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一喷多促药剂及飞防作业</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标的名称：肥料</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Ind w:type="dxa" w:w="135"/>
              <w:tblBorders>
                <w:top w:val="none" w:color="000000" w:sz="4"/>
                <w:left w:val="none" w:color="000000" w:sz="4"/>
                <w:bottom w:val="none" w:color="000000" w:sz="4"/>
                <w:right w:val="none" w:color="000000" w:sz="4"/>
                <w:insideH w:val="none"/>
                <w:insideV w:val="none"/>
              </w:tblBorders>
            </w:tblPr>
            <w:tblGrid>
              <w:gridCol w:w="161"/>
              <w:gridCol w:w="358"/>
              <w:gridCol w:w="367"/>
              <w:gridCol w:w="1655"/>
            </w:tblGrid>
            <w:tr>
              <w:tc>
                <w:tcPr>
                  <w:tcW w:type="dxa" w:w="161"/>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肥料</w:t>
                  </w:r>
                </w:p>
              </w:tc>
              <w:tc>
                <w:tcPr>
                  <w:tcW w:type="dxa" w:w="35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氮肥</w:t>
                  </w:r>
                </w:p>
                <w:p>
                  <w:pPr>
                    <w:pStyle w:val="null3"/>
                    <w:jc w:val="center"/>
                  </w:pPr>
                  <w:r>
                    <w:rPr>
                      <w:rFonts w:ascii="仿宋_GB2312" w:hAnsi="仿宋_GB2312" w:cs="仿宋_GB2312" w:eastAsia="仿宋_GB2312"/>
                      <w:sz w:val="24"/>
                    </w:rPr>
                    <w:t>（小麦）</w:t>
                  </w:r>
                </w:p>
              </w:tc>
              <w:tc>
                <w:tcPr>
                  <w:tcW w:type="dxa" w:w="36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43</w:t>
                  </w:r>
                  <w:r>
                    <w:rPr>
                      <w:rFonts w:ascii="仿宋_GB2312" w:hAnsi="仿宋_GB2312" w:cs="仿宋_GB2312" w:eastAsia="仿宋_GB2312"/>
                      <w:sz w:val="24"/>
                    </w:rPr>
                    <w:t>吨</w:t>
                  </w:r>
                </w:p>
              </w:tc>
              <w:tc>
                <w:tcPr>
                  <w:tcW w:type="dxa" w:w="165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总氮含量</w:t>
                  </w:r>
                  <w:r>
                    <w:rPr>
                      <w:rFonts w:ascii="仿宋_GB2312" w:hAnsi="仿宋_GB2312" w:cs="仿宋_GB2312" w:eastAsia="仿宋_GB2312"/>
                      <w:sz w:val="24"/>
                    </w:rPr>
                    <w:t>≥</w:t>
                  </w:r>
                  <w:r>
                    <w:rPr>
                      <w:rFonts w:ascii="仿宋_GB2312" w:hAnsi="仿宋_GB2312" w:cs="仿宋_GB2312" w:eastAsia="仿宋_GB2312"/>
                      <w:sz w:val="24"/>
                    </w:rPr>
                    <w:t>46%</w:t>
                  </w:r>
                  <w:r>
                    <w:rPr>
                      <w:rFonts w:ascii="仿宋_GB2312" w:hAnsi="仿宋_GB2312" w:cs="仿宋_GB2312" w:eastAsia="仿宋_GB2312"/>
                      <w:sz w:val="24"/>
                    </w:rPr>
                    <w:t>，粒度范围：</w:t>
                  </w:r>
                  <w:r>
                    <w:rPr>
                      <w:rFonts w:ascii="仿宋_GB2312" w:hAnsi="仿宋_GB2312" w:cs="仿宋_GB2312" w:eastAsia="仿宋_GB2312"/>
                      <w:sz w:val="24"/>
                    </w:rPr>
                    <w:t>d0.85mm-2.80mm</w:t>
                  </w:r>
                  <w:r>
                    <w:rPr>
                      <w:rFonts w:ascii="仿宋_GB2312" w:hAnsi="仿宋_GB2312" w:cs="仿宋_GB2312" w:eastAsia="仿宋_GB2312"/>
                      <w:sz w:val="24"/>
                    </w:rPr>
                    <w:t>，</w:t>
                  </w:r>
                  <w:r>
                    <w:rPr>
                      <w:rFonts w:ascii="仿宋_GB2312" w:hAnsi="仿宋_GB2312" w:cs="仿宋_GB2312" w:eastAsia="仿宋_GB2312"/>
                      <w:sz w:val="24"/>
                    </w:rPr>
                    <w:t>包装</w:t>
                  </w:r>
                  <w:r>
                    <w:rPr>
                      <w:rFonts w:ascii="仿宋_GB2312" w:hAnsi="仿宋_GB2312" w:cs="仿宋_GB2312" w:eastAsia="仿宋_GB2312"/>
                      <w:sz w:val="24"/>
                    </w:rPr>
                    <w:t>50</w:t>
                  </w:r>
                  <w:r>
                    <w:rPr>
                      <w:rFonts w:ascii="仿宋_GB2312" w:hAnsi="仿宋_GB2312" w:cs="仿宋_GB2312" w:eastAsia="仿宋_GB2312"/>
                      <w:sz w:val="24"/>
                    </w:rPr>
                    <w:t>kg</w:t>
                  </w:r>
                  <w:r>
                    <w:rPr>
                      <w:rFonts w:ascii="仿宋_GB2312" w:hAnsi="仿宋_GB2312" w:cs="仿宋_GB2312" w:eastAsia="仿宋_GB2312"/>
                      <w:sz w:val="24"/>
                    </w:rPr>
                    <w:t>/</w:t>
                  </w:r>
                  <w:r>
                    <w:rPr>
                      <w:rFonts w:ascii="仿宋_GB2312" w:hAnsi="仿宋_GB2312" w:cs="仿宋_GB2312" w:eastAsia="仿宋_GB2312"/>
                      <w:sz w:val="24"/>
                    </w:rPr>
                    <w:t>袋，</w:t>
                  </w:r>
                  <w:r>
                    <w:rPr>
                      <w:rFonts w:ascii="仿宋_GB2312" w:hAnsi="仿宋_GB2312" w:cs="仿宋_GB2312" w:eastAsia="仿宋_GB2312"/>
                      <w:sz w:val="24"/>
                    </w:rPr>
                    <w:t>执行标准</w:t>
                  </w:r>
                  <w:r>
                    <w:rPr>
                      <w:rFonts w:ascii="仿宋_GB2312" w:hAnsi="仿宋_GB2312" w:cs="仿宋_GB2312" w:eastAsia="仿宋_GB2312"/>
                      <w:sz w:val="24"/>
                    </w:rPr>
                    <w:t>GB/T 2440-2017</w:t>
                  </w:r>
                  <w:r>
                    <w:rPr>
                      <w:rFonts w:ascii="仿宋_GB2312" w:hAnsi="仿宋_GB2312" w:cs="仿宋_GB2312" w:eastAsia="仿宋_GB2312"/>
                      <w:sz w:val="24"/>
                    </w:rPr>
                    <w:t>。</w:t>
                  </w:r>
                </w:p>
              </w:tc>
            </w:tr>
            <w:tr>
              <w:tc>
                <w:tcPr>
                  <w:tcW w:type="dxa" w:w="161"/>
                  <w:vMerge/>
                  <w:tcBorders>
                    <w:top w:val="single" w:color="000000" w:sz="4"/>
                    <w:left w:val="single" w:color="000000" w:sz="4"/>
                    <w:bottom w:val="single" w:color="000000" w:sz="4"/>
                    <w:right w:val="single" w:color="000000" w:sz="4"/>
                  </w:tcBorders>
                </w:tcP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配方肥（核心产品）</w:t>
                  </w:r>
                </w:p>
                <w:p>
                  <w:pPr>
                    <w:pStyle w:val="null3"/>
                    <w:jc w:val="center"/>
                  </w:pPr>
                  <w:r>
                    <w:rPr>
                      <w:rFonts w:ascii="仿宋_GB2312" w:hAnsi="仿宋_GB2312" w:cs="仿宋_GB2312" w:eastAsia="仿宋_GB2312"/>
                      <w:sz w:val="24"/>
                    </w:rPr>
                    <w:t>（油菜）</w:t>
                  </w:r>
                </w:p>
              </w:tc>
              <w:tc>
                <w:tcPr>
                  <w:tcW w:type="dxa" w:w="3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5</w:t>
                  </w:r>
                  <w:r>
                    <w:rPr>
                      <w:rFonts w:ascii="仿宋_GB2312" w:hAnsi="仿宋_GB2312" w:cs="仿宋_GB2312" w:eastAsia="仿宋_GB2312"/>
                      <w:sz w:val="24"/>
                    </w:rPr>
                    <w:t>吨</w:t>
                  </w:r>
                  <w:r>
                    <w:rPr>
                      <w:rFonts w:ascii="仿宋_GB2312" w:hAnsi="仿宋_GB2312" w:cs="仿宋_GB2312" w:eastAsia="仿宋_GB2312"/>
                      <w:sz w:val="21"/>
                    </w:rPr>
                    <w:t xml:space="preserve"> </w:t>
                  </w:r>
                </w:p>
              </w:tc>
              <w:tc>
                <w:tcPr>
                  <w:tcW w:type="dxa" w:w="1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总养分</w:t>
                  </w:r>
                  <w:r>
                    <w:rPr>
                      <w:rFonts w:ascii="仿宋_GB2312" w:hAnsi="仿宋_GB2312" w:cs="仿宋_GB2312" w:eastAsia="仿宋_GB2312"/>
                      <w:sz w:val="24"/>
                    </w:rPr>
                    <w:t>≥</w:t>
                  </w:r>
                  <w:r>
                    <w:rPr>
                      <w:rFonts w:ascii="仿宋_GB2312" w:hAnsi="仿宋_GB2312" w:cs="仿宋_GB2312" w:eastAsia="仿宋_GB2312"/>
                      <w:sz w:val="24"/>
                    </w:rPr>
                    <w:t>40.0%</w:t>
                  </w:r>
                  <w:r>
                    <w:rPr>
                      <w:rFonts w:ascii="仿宋_GB2312" w:hAnsi="仿宋_GB2312" w:cs="仿宋_GB2312" w:eastAsia="仿宋_GB2312"/>
                      <w:sz w:val="24"/>
                    </w:rPr>
                    <w:t>，</w:t>
                  </w:r>
                  <w:r>
                    <w:rPr>
                      <w:rFonts w:ascii="仿宋_GB2312" w:hAnsi="仿宋_GB2312" w:cs="仿宋_GB2312" w:eastAsia="仿宋_GB2312"/>
                      <w:sz w:val="24"/>
                    </w:rPr>
                    <w:t>N</w:t>
                  </w:r>
                  <w:r>
                    <w:rPr>
                      <w:rFonts w:ascii="仿宋_GB2312" w:hAnsi="仿宋_GB2312" w:cs="仿宋_GB2312" w:eastAsia="仿宋_GB2312"/>
                      <w:sz w:val="24"/>
                    </w:rPr>
                    <w:t>≥</w:t>
                  </w:r>
                  <w:r>
                    <w:rPr>
                      <w:rFonts w:ascii="仿宋_GB2312" w:hAnsi="仿宋_GB2312" w:cs="仿宋_GB2312" w:eastAsia="仿宋_GB2312"/>
                      <w:sz w:val="24"/>
                    </w:rPr>
                    <w:t>18</w:t>
                  </w:r>
                  <w:r>
                    <w:rPr>
                      <w:rFonts w:ascii="仿宋_GB2312" w:hAnsi="仿宋_GB2312" w:cs="仿宋_GB2312" w:eastAsia="仿宋_GB2312"/>
                      <w:sz w:val="24"/>
                    </w:rPr>
                    <w:t>，</w:t>
                  </w:r>
                  <w:r>
                    <w:rPr>
                      <w:rFonts w:ascii="仿宋_GB2312" w:hAnsi="仿宋_GB2312" w:cs="仿宋_GB2312" w:eastAsia="仿宋_GB2312"/>
                      <w:sz w:val="24"/>
                    </w:rPr>
                    <w:t>P</w:t>
                  </w:r>
                  <w:r>
                    <w:rPr>
                      <w:rFonts w:ascii="仿宋_GB2312" w:hAnsi="仿宋_GB2312" w:cs="仿宋_GB2312" w:eastAsia="仿宋_GB2312"/>
                      <w:sz w:val="24"/>
                      <w:vertAlign w:val="subscript"/>
                    </w:rPr>
                    <w:t>2</w:t>
                  </w:r>
                  <w:r>
                    <w:rPr>
                      <w:rFonts w:ascii="仿宋_GB2312" w:hAnsi="仿宋_GB2312" w:cs="仿宋_GB2312" w:eastAsia="仿宋_GB2312"/>
                      <w:sz w:val="24"/>
                    </w:rPr>
                    <w:t>O</w:t>
                  </w:r>
                  <w:r>
                    <w:rPr>
                      <w:rFonts w:ascii="仿宋_GB2312" w:hAnsi="仿宋_GB2312" w:cs="仿宋_GB2312" w:eastAsia="仿宋_GB2312"/>
                      <w:sz w:val="24"/>
                      <w:vertAlign w:val="subscript"/>
                    </w:rPr>
                    <w:t>5</w:t>
                  </w:r>
                  <w:r>
                    <w:rPr>
                      <w:rFonts w:ascii="仿宋_GB2312" w:hAnsi="仿宋_GB2312" w:cs="仿宋_GB2312" w:eastAsia="仿宋_GB2312"/>
                      <w:sz w:val="24"/>
                    </w:rPr>
                    <w:t>≥</w:t>
                  </w:r>
                  <w:r>
                    <w:rPr>
                      <w:rFonts w:ascii="仿宋_GB2312" w:hAnsi="仿宋_GB2312" w:cs="仿宋_GB2312" w:eastAsia="仿宋_GB2312"/>
                      <w:sz w:val="24"/>
                    </w:rPr>
                    <w:t>8</w:t>
                  </w:r>
                  <w:r>
                    <w:rPr>
                      <w:rFonts w:ascii="仿宋_GB2312" w:hAnsi="仿宋_GB2312" w:cs="仿宋_GB2312" w:eastAsia="仿宋_GB2312"/>
                      <w:sz w:val="24"/>
                    </w:rPr>
                    <w:t>，</w:t>
                  </w:r>
                  <w:r>
                    <w:rPr>
                      <w:rFonts w:ascii="仿宋_GB2312" w:hAnsi="仿宋_GB2312" w:cs="仿宋_GB2312" w:eastAsia="仿宋_GB2312"/>
                      <w:sz w:val="24"/>
                    </w:rPr>
                    <w:t>K</w:t>
                  </w:r>
                  <w:r>
                    <w:rPr>
                      <w:rFonts w:ascii="仿宋_GB2312" w:hAnsi="仿宋_GB2312" w:cs="仿宋_GB2312" w:eastAsia="仿宋_GB2312"/>
                      <w:sz w:val="24"/>
                      <w:vertAlign w:val="subscript"/>
                    </w:rPr>
                    <w:t>2</w:t>
                  </w:r>
                  <w:r>
                    <w:rPr>
                      <w:rFonts w:ascii="仿宋_GB2312" w:hAnsi="仿宋_GB2312" w:cs="仿宋_GB2312" w:eastAsia="仿宋_GB2312"/>
                      <w:sz w:val="24"/>
                    </w:rPr>
                    <w:t>O</w:t>
                  </w:r>
                  <w:r>
                    <w:rPr>
                      <w:rFonts w:ascii="仿宋_GB2312" w:hAnsi="仿宋_GB2312" w:cs="仿宋_GB2312" w:eastAsia="仿宋_GB2312"/>
                      <w:sz w:val="24"/>
                    </w:rPr>
                    <w:t>≥</w:t>
                  </w:r>
                  <w:r>
                    <w:rPr>
                      <w:rFonts w:ascii="仿宋_GB2312" w:hAnsi="仿宋_GB2312" w:cs="仿宋_GB2312" w:eastAsia="仿宋_GB2312"/>
                      <w:sz w:val="24"/>
                    </w:rPr>
                    <w:t>12</w:t>
                  </w:r>
                  <w:r>
                    <w:rPr>
                      <w:rFonts w:ascii="仿宋_GB2312" w:hAnsi="仿宋_GB2312" w:cs="仿宋_GB2312" w:eastAsia="仿宋_GB2312"/>
                      <w:sz w:val="24"/>
                    </w:rPr>
                    <w:t>；包装</w:t>
                  </w:r>
                  <w:r>
                    <w:rPr>
                      <w:rFonts w:ascii="仿宋_GB2312" w:hAnsi="仿宋_GB2312" w:cs="仿宋_GB2312" w:eastAsia="仿宋_GB2312"/>
                      <w:sz w:val="24"/>
                    </w:rPr>
                    <w:t>40</w:t>
                  </w:r>
                  <w:r>
                    <w:rPr>
                      <w:rFonts w:ascii="仿宋_GB2312" w:hAnsi="仿宋_GB2312" w:cs="仿宋_GB2312" w:eastAsia="仿宋_GB2312"/>
                      <w:sz w:val="24"/>
                    </w:rPr>
                    <w:t>kg</w:t>
                  </w:r>
                  <w:r>
                    <w:rPr>
                      <w:rFonts w:ascii="仿宋_GB2312" w:hAnsi="仿宋_GB2312" w:cs="仿宋_GB2312" w:eastAsia="仿宋_GB2312"/>
                      <w:sz w:val="24"/>
                    </w:rPr>
                    <w:t>/</w:t>
                  </w:r>
                  <w:r>
                    <w:rPr>
                      <w:rFonts w:ascii="仿宋_GB2312" w:hAnsi="仿宋_GB2312" w:cs="仿宋_GB2312" w:eastAsia="仿宋_GB2312"/>
                      <w:sz w:val="24"/>
                    </w:rPr>
                    <w:t>袋，执行标准</w:t>
                  </w:r>
                  <w:r>
                    <w:rPr>
                      <w:rFonts w:ascii="仿宋_GB2312" w:hAnsi="仿宋_GB2312" w:cs="仿宋_GB2312" w:eastAsia="仿宋_GB2312"/>
                      <w:sz w:val="24"/>
                    </w:rPr>
                    <w:t>GB/T 15063-2020</w:t>
                  </w:r>
                  <w:r>
                    <w:rPr>
                      <w:rFonts w:ascii="仿宋_GB2312" w:hAnsi="仿宋_GB2312" w:cs="仿宋_GB2312" w:eastAsia="仿宋_GB2312"/>
                      <w:sz w:val="24"/>
                    </w:rPr>
                    <w:t>。</w:t>
                  </w:r>
                </w:p>
              </w:tc>
            </w:tr>
          </w:tbl>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注：技术参数与性能指标为实质性响应内容，不得负偏离。</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标的名称：氮肥</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20"/>
              <w:gridCol w:w="402"/>
              <w:gridCol w:w="339"/>
              <w:gridCol w:w="1582"/>
            </w:tblGrid>
            <w:tr>
              <w:tc>
                <w:tcPr>
                  <w:tcW w:type="dxa" w:w="220"/>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肥料</w:t>
                  </w:r>
                </w:p>
              </w:tc>
              <w:tc>
                <w:tcPr>
                  <w:tcW w:type="dxa" w:w="40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氮肥</w:t>
                  </w:r>
                </w:p>
                <w:p>
                  <w:pPr>
                    <w:pStyle w:val="null3"/>
                    <w:jc w:val="center"/>
                  </w:pPr>
                  <w:r>
                    <w:rPr>
                      <w:rFonts w:ascii="仿宋_GB2312" w:hAnsi="仿宋_GB2312" w:cs="仿宋_GB2312" w:eastAsia="仿宋_GB2312"/>
                      <w:sz w:val="24"/>
                    </w:rPr>
                    <w:t>（玉米）</w:t>
                  </w:r>
                </w:p>
              </w:tc>
              <w:tc>
                <w:tcPr>
                  <w:tcW w:type="dxa" w:w="3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43</w:t>
                  </w:r>
                  <w:r>
                    <w:rPr>
                      <w:rFonts w:ascii="仿宋_GB2312" w:hAnsi="仿宋_GB2312" w:cs="仿宋_GB2312" w:eastAsia="仿宋_GB2312"/>
                      <w:sz w:val="24"/>
                    </w:rPr>
                    <w:t>吨</w:t>
                  </w:r>
                </w:p>
              </w:tc>
              <w:tc>
                <w:tcPr>
                  <w:tcW w:type="dxa" w:w="158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总氮含量</w:t>
                  </w:r>
                  <w:r>
                    <w:rPr>
                      <w:rFonts w:ascii="仿宋_GB2312" w:hAnsi="仿宋_GB2312" w:cs="仿宋_GB2312" w:eastAsia="仿宋_GB2312"/>
                      <w:sz w:val="24"/>
                    </w:rPr>
                    <w:t>≥46%，粒度范围：d0.85mm-2.80mm，包装50</w:t>
                  </w:r>
                  <w:r>
                    <w:rPr>
                      <w:rFonts w:ascii="仿宋_GB2312" w:hAnsi="仿宋_GB2312" w:cs="仿宋_GB2312" w:eastAsia="仿宋_GB2312"/>
                      <w:sz w:val="24"/>
                    </w:rPr>
                    <w:t>kg</w:t>
                  </w:r>
                  <w:r>
                    <w:rPr>
                      <w:rFonts w:ascii="仿宋_GB2312" w:hAnsi="仿宋_GB2312" w:cs="仿宋_GB2312" w:eastAsia="仿宋_GB2312"/>
                      <w:sz w:val="24"/>
                    </w:rPr>
                    <w:t>/袋，执行标准GB/T 2440-2017。</w:t>
                  </w:r>
                </w:p>
              </w:tc>
            </w:tr>
            <w:tr>
              <w:tc>
                <w:tcPr>
                  <w:tcW w:type="dxa" w:w="220"/>
                  <w:vMerge/>
                  <w:tcBorders>
                    <w:top w:val="single" w:color="000000" w:sz="4"/>
                    <w:left w:val="single" w:color="000000" w:sz="4"/>
                    <w:bottom w:val="single" w:color="000000" w:sz="4"/>
                    <w:right w:val="single" w:color="000000" w:sz="4"/>
                  </w:tcBorders>
                </w:tcPr>
                <w:p/>
              </w:tc>
              <w:tc>
                <w:tcPr>
                  <w:tcW w:type="dxa" w:w="4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氮肥</w:t>
                  </w:r>
                </w:p>
                <w:p>
                  <w:pPr>
                    <w:pStyle w:val="null3"/>
                    <w:jc w:val="center"/>
                  </w:pPr>
                  <w:r>
                    <w:rPr>
                      <w:rFonts w:ascii="仿宋_GB2312" w:hAnsi="仿宋_GB2312" w:cs="仿宋_GB2312" w:eastAsia="仿宋_GB2312"/>
                      <w:sz w:val="24"/>
                    </w:rPr>
                    <w:t>（玉米扩种）</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76.2</w:t>
                  </w:r>
                  <w:r>
                    <w:rPr>
                      <w:rFonts w:ascii="仿宋_GB2312" w:hAnsi="仿宋_GB2312" w:cs="仿宋_GB2312" w:eastAsia="仿宋_GB2312"/>
                      <w:sz w:val="24"/>
                    </w:rPr>
                    <w:t>吨</w:t>
                  </w:r>
                </w:p>
              </w:tc>
              <w:tc>
                <w:tcPr>
                  <w:tcW w:type="dxa" w:w="15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总氮含量</w:t>
                  </w:r>
                  <w:r>
                    <w:rPr>
                      <w:rFonts w:ascii="仿宋_GB2312" w:hAnsi="仿宋_GB2312" w:cs="仿宋_GB2312" w:eastAsia="仿宋_GB2312"/>
                      <w:sz w:val="24"/>
                    </w:rPr>
                    <w:t>≥46%，粒度范围：d0.85mm-2.80mm，包装50</w:t>
                  </w:r>
                  <w:r>
                    <w:rPr>
                      <w:rFonts w:ascii="仿宋_GB2312" w:hAnsi="仿宋_GB2312" w:cs="仿宋_GB2312" w:eastAsia="仿宋_GB2312"/>
                      <w:sz w:val="24"/>
                    </w:rPr>
                    <w:t>kg</w:t>
                  </w:r>
                  <w:r>
                    <w:rPr>
                      <w:rFonts w:ascii="仿宋_GB2312" w:hAnsi="仿宋_GB2312" w:cs="仿宋_GB2312" w:eastAsia="仿宋_GB2312"/>
                      <w:sz w:val="24"/>
                    </w:rPr>
                    <w:t>/袋，执行标准GB/T2440-2017。</w:t>
                  </w:r>
                </w:p>
              </w:tc>
            </w:tr>
          </w:tbl>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注：技术参数与性能指标为实质性响应内容，不得负偏离。</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标的名称：一喷多促药剂及飞防作业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87"/>
              <w:gridCol w:w="467"/>
              <w:gridCol w:w="423"/>
              <w:gridCol w:w="1362"/>
            </w:tblGrid>
            <w:tr>
              <w:tc>
                <w:tcPr>
                  <w:tcW w:type="dxa" w:w="28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玉米</w:t>
                  </w:r>
                </w:p>
              </w:tc>
              <w:tc>
                <w:tcPr>
                  <w:tcW w:type="dxa" w:w="46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“一喷多促”药剂及飞防作业</w:t>
                  </w:r>
                </w:p>
              </w:tc>
              <w:tc>
                <w:tcPr>
                  <w:tcW w:type="dxa" w:w="42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10000亩</w:t>
                  </w:r>
                </w:p>
              </w:tc>
              <w:tc>
                <w:tcPr>
                  <w:tcW w:type="dxa" w:w="13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药剂名称及有效成分亩用量：唑醚</w:t>
                  </w:r>
                  <w:r>
                    <w:rPr>
                      <w:rFonts w:ascii="仿宋_GB2312" w:hAnsi="仿宋_GB2312" w:cs="仿宋_GB2312" w:eastAsia="仿宋_GB2312"/>
                      <w:sz w:val="24"/>
                    </w:rPr>
                    <w:t>·戊唑醇≥12克，甲维·氯虫苯≥2.3克，芸苔素内酯≥0.001克。</w:t>
                  </w:r>
                </w:p>
                <w:p>
                  <w:pPr>
                    <w:pStyle w:val="null3"/>
                    <w:jc w:val="both"/>
                  </w:pPr>
                  <w:r>
                    <w:rPr>
                      <w:rFonts w:ascii="仿宋_GB2312" w:hAnsi="仿宋_GB2312" w:cs="仿宋_GB2312" w:eastAsia="仿宋_GB2312"/>
                      <w:sz w:val="24"/>
                    </w:rPr>
                    <w:t>植保无人机开展小麦</w:t>
                  </w:r>
                  <w:r>
                    <w:rPr>
                      <w:rFonts w:ascii="仿宋_GB2312" w:hAnsi="仿宋_GB2312" w:cs="仿宋_GB2312" w:eastAsia="仿宋_GB2312"/>
                      <w:sz w:val="24"/>
                    </w:rPr>
                    <w:t>“一喷多促”专业化统防统治作业，防效≥85﹪。</w:t>
                  </w:r>
                </w:p>
              </w:tc>
            </w:tr>
          </w:tbl>
          <w:p>
            <w:pPr>
              <w:pStyle w:val="null3"/>
            </w:pPr>
            <w:r>
              <w:rPr>
                <w:rFonts w:ascii="仿宋_GB2312" w:hAnsi="仿宋_GB2312" w:cs="仿宋_GB2312" w:eastAsia="仿宋_GB2312"/>
              </w:rPr>
              <w:t>核心产品：唑醚·戊唑醇</w:t>
            </w:r>
          </w:p>
          <w:p>
            <w:pPr>
              <w:pStyle w:val="null3"/>
            </w:pPr>
            <w:r>
              <w:rPr>
                <w:rFonts w:ascii="仿宋_GB2312" w:hAnsi="仿宋_GB2312" w:cs="仿宋_GB2312" w:eastAsia="仿宋_GB2312"/>
              </w:rPr>
              <w:t>注：技术参数与性能指标为实质性响应内容，不得负偏离。</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氮肥交货期：2026年2月10日前，油菜配方肥2026年9月10前。</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氮肥交货期：2026年7月10日前。</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2026年8月</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蓝田县白鹿塬（具体由蓝田县农业技术推广中心指定）</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蓝田县白鹿塬、汤峪镇（具体由蓝田县农业技术推广中心指定）</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蓝田县安村镇、孟村镇（具体由蓝田县农业技术推广中心指定）</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专项资金到位后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专项资金到位后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专项资金到位后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1.货物到达交货地点后，由使用单位根据合同对货物的名称、品牌、规格、型号、产地、数量进行检查，合格后签发《验收合格单》。 2.验收不合格的成交单位，必须在接到通知后7个日历日内确保货物通过验收。如接到通知后7个日历日内验收仍不合格，采购人可提出索赔或取消其供货合同。采购代理机构将把成交资格授予评审排序下一名的成交单位。 3.验收依据 3.1合同文本及合同补充文件（条款）； 3.2产品的合法来源渠道证明文件； 3.3竞争性谈判文件； 3.4竞争性谈判响应文件； 3.5合同货物清单； 3.6生产厂家的企业资质等。</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1.货物到达交货地点后，由使用单位根据合同对货物的名称、品牌、规格、型号、产地、数量进行检查，合格后签发《验收合格单》。 2.验收不合格的成交单位，必须在接到通知后7个日历日内确保货物通过验收。如接到通知后7个日历日内验收仍不合格，采购人可提出索赔或取消其供货合同。采购代理机构将把成交资格授予评审排序下一名的成交单位。 3.验收依据 3.1合同文本及合同补充文件（条款）； 3.2产品的合法来源渠道证明文件； 3.3竞争性谈判文件； 3.4竞争性谈判响应文件； 3.5合同货物清单； 3.6生产厂家的企业资质等。</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1.货物到达交货地点后，由使用单位根据合同对货物的名称、品牌、规格、型号、产地、数量进行检查，合格后签发《验收合格单》。 2.验收不合格的成交单位，必须在接到通知后7个日历日内确保货物通过验收。如接到通知后7个日历日内验收仍不合格，采购人可提出索赔或取消其供货合同。采购代理机构将把成交资格授予评审排序下一名的成交单位。 3.验收依据 3.1合同文本及合同补充文件（条款）； 3.2产品的合法来源渠道证明文件； 3.3竞争性谈判文件； 3.4竞争性谈判响应文件； 3.5合同货物清单； 3.6生产厂家的企业资质等。</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1.质保期为验收合格之日起不少于12个月。 2.成交单位承诺的质保期起始时间为终验合格之日。 3.所有产品质量必须符合国家有关规范和相关政策。所有产品必须是未使用过的新产品，质量优良、渠道正当。 4.质保期出现的质量问题由成交单位负责解决并承担所有费用。</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1.质保期为验收合格之日起不少于12个月。 2.成交单位承诺的质保期起始时间为终验合格之日。 3.所有产品质量必须符合国家有关规范和相关政策。所有产品必须是未使用过的新产品，质量优良、渠道正当。 4.质保期出现的质量问题由成交单位负责解决并承担所有费用。</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1.质保期为验收合格之日起不少于12个月。 2.成交单位承诺的质保期起始时间为终验合格之日。 3.所有产品质量必须符合国家有关规范和相关政策。所有产品必须是未使用过的新产品，质量优良、渠道正当。 4.质保期出现的质量问题由成交单位负责解决并承担所有费用。</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 2.未按合同要求提供产品或产品质量不能满足技术要求，采购人有权终止合同，并对供方违约行为进行追究，同时按《中华人民共和国政府采购法》的有关规定进行处罚。</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1.按《中华人民共和国民法典》中的相关条款执行。 2.未按合同要求提供产品或产品质量不能满足技术要求，采购人有权终止合同，并对供方违约行为进行追究，同时按《中华人民共和国政府采购法》的有关规定进行处罚。</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1.按《中华人民共和国民法典》中的相关条款执行。 2.未按合同要求提供产品或产品质量不能满足技术要求，采购人有权终止合同，并对供方违约行为进行追究，同时按《中华人民共和国政府采购法》的有关规定进行处罚。</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本条属于符合性及商务要求，必须提供，未提供或提供不全的，均为无效响应，属于废标条款。提供所投肥料的合法来源渠道证明文件（包括但不限于原厂授权、代理协议、销售协议等）；2、成交人在领取成交通知书时提供一正两副纸质响应文件。纸质响应文件采用书籍（胶装）方式装订成册，与电子响应文件一致的签字、盖章的完整版本（正本为红章，副本不作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本条属于符合性及商务要求，必须提供，未提供或提供不全的，均为无效响应，属于废标条款。提供所投肥料的合法来源渠道证明文件（包括但不限于原厂授权、代理协议、销售协议等）；2、成交人在领取成交通知书时提供一正两副纸质响应文件。纸质响应文件采用书籍（胶装）方式装订成册，与电子响应文件一致的签字、盖章的完整版本（正本为红章，副本不作要求）。</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本条属于符合性及商务要求，必须提供，未提供或提供不全的，均为无效响应，属于废标条款。提供所投药剂的合法来源渠道证明文件（包括但不限于原厂授权、代理协议、销售协议等）；2、必须使用航化助剂并提供航化助剂产品资料（防控药剂必须是适宜航化作业的药剂）；3、成交人在领取成交通知书时提供一正两副纸质响应文件。纸质响应文件采用书籍（胶装）方式装订成册，与电子响应文件一致的签字、盖章的完整版本（正本为红章，副本不作要求）。</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供应商需在项目电子化交易系统中按要求上传相应证明文件并进行电子签章，此项审查内容与“财务状况报告”为同一审查内容。</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供应商需在项目电子化交易系统中按要求上传相应证明文件并进行电子签章，此项审查内容与“控股关系查询”为同一审查内容。</w:t>
            </w:r>
          </w:p>
        </w:tc>
        <w:tc>
          <w:tcPr>
            <w:tcW w:type="dxa" w:w="1661"/>
          </w:tcPr>
          <w:p>
            <w:pPr>
              <w:pStyle w:val="null3"/>
            </w:pPr>
            <w:r>
              <w:rPr>
                <w:rFonts w:ascii="仿宋_GB2312" w:hAnsi="仿宋_GB2312" w:cs="仿宋_GB2312" w:eastAsia="仿宋_GB2312"/>
              </w:rPr>
              <w:t>响应函 资格证明文件.docx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供应商需在项目电子化交易系统中按要求上传相应证明文件并进行电子签章，此项审查内容与“财务状况报告”为同一审查内容。</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供应商需在项目电子化交易系统中按要求上传相应证明文件并进行电子签章，此项审查内容与“控股关系查询”为同一审查内容。</w:t>
            </w:r>
          </w:p>
        </w:tc>
        <w:tc>
          <w:tcPr>
            <w:tcW w:type="dxa" w:w="1661"/>
          </w:tcPr>
          <w:p>
            <w:pPr>
              <w:pStyle w:val="null3"/>
            </w:pPr>
            <w:r>
              <w:rPr>
                <w:rFonts w:ascii="仿宋_GB2312" w:hAnsi="仿宋_GB2312" w:cs="仿宋_GB2312" w:eastAsia="仿宋_GB2312"/>
              </w:rPr>
              <w:t>响应函 资格证明文件.docx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供应商需在项目电子化交易系统中按要求上传相应证明文件并进行电子签章，此项审查内容与“财务状况报告”为同一审查内容。</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供应商需在项目电子化交易系统中按要求上传相应证明文件并进行电子签章，此项审查内容与“控股关系查询”为同一审查内容。</w:t>
            </w:r>
          </w:p>
        </w:tc>
        <w:tc>
          <w:tcPr>
            <w:tcW w:type="dxa" w:w="1661"/>
          </w:tcPr>
          <w:p>
            <w:pPr>
              <w:pStyle w:val="null3"/>
            </w:pPr>
            <w:r>
              <w:rPr>
                <w:rFonts w:ascii="仿宋_GB2312" w:hAnsi="仿宋_GB2312" w:cs="仿宋_GB2312" w:eastAsia="仿宋_GB2312"/>
              </w:rPr>
              <w:t>响应函 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提供供应商合法注册的法人或其他组织的营业执照/事业单位法人证书/非企业专业服务机构执业许可证/民办非企业单位登记证书</w:t>
            </w:r>
          </w:p>
        </w:tc>
        <w:tc>
          <w:tcPr>
            <w:tcW w:type="dxa" w:w="3322"/>
          </w:tcPr>
          <w:p>
            <w:pPr>
              <w:pStyle w:val="null3"/>
            </w:pPr>
            <w:r>
              <w:rPr>
                <w:rFonts w:ascii="仿宋_GB2312" w:hAnsi="仿宋_GB2312" w:cs="仿宋_GB2312" w:eastAsia="仿宋_GB2312"/>
              </w:rPr>
              <w:t>提供供应商合法注册的法人或其他组织的营业执照/事业单位法人证书/非企业专业服务机构执业许可证/民办非企业单位登记证书</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财务状况报告：提供具有财务审计资质单位出具合法有效的2024年度财务报告（成立时间至开标时间不足一年的可提供成立后任意时段的资产负债表）或开标前六个月内其基本账户银行出具的资信证明或政府采购信用担保机构出具的担保函</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税收缴纳证明：提供2025年2月至今任意一个月的缴纳凭据（增值税、企业所得税至少一种）；（依法免税的供应商应提供相关文件证明）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社会保障资金缴纳证明：提供2025年7月至今任意一个月的社保缴纳凭据或社保机构开具的社会保险参保缴纳情况证明；（依法不需要缴纳社会保障资金的供应商应提供相关证明）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提供具有履行本合同所必需的设备和专业技术能力的说明及承诺</w:t>
            </w:r>
          </w:p>
        </w:tc>
        <w:tc>
          <w:tcPr>
            <w:tcW w:type="dxa" w:w="3322"/>
          </w:tcPr>
          <w:p>
            <w:pPr>
              <w:pStyle w:val="null3"/>
            </w:pPr>
            <w:r>
              <w:rPr>
                <w:rFonts w:ascii="仿宋_GB2312" w:hAnsi="仿宋_GB2312" w:cs="仿宋_GB2312" w:eastAsia="仿宋_GB2312"/>
              </w:rPr>
              <w:t>提供具有履行本合同所必需的设备和专业技术能力的说明及承诺；（提供书面说明及承诺，加盖供应商公章）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提供参加政府采购活动前三年内在经营活动中没有重大违法记录的书面声明（提供书面声明，加盖供应商公章）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授权委托书（附法定代表人身份证复印件及被授权人身份证复印件）；法定代表人直接参加谈判提供法定代表人资格证明书（附法定代表人身份证复印件）；采购文件凡是法定代表人之处，非法人单位的负责人均参照执行；（式样见响应文件格式）</w:t>
            </w:r>
          </w:p>
        </w:tc>
        <w:tc>
          <w:tcPr>
            <w:tcW w:type="dxa" w:w="1661"/>
          </w:tcPr>
          <w:p>
            <w:pPr>
              <w:pStyle w:val="null3"/>
            </w:pPr>
            <w:r>
              <w:rPr>
                <w:rFonts w:ascii="仿宋_GB2312" w:hAnsi="仿宋_GB2312" w:cs="仿宋_GB2312" w:eastAsia="仿宋_GB2312"/>
              </w:rPr>
              <w:t>授权委托书.docx 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配方肥资质要求</w:t>
            </w:r>
          </w:p>
        </w:tc>
        <w:tc>
          <w:tcPr>
            <w:tcW w:type="dxa" w:w="3322"/>
          </w:tcPr>
          <w:p>
            <w:pPr>
              <w:pStyle w:val="null3"/>
            </w:pPr>
            <w:r>
              <w:rPr>
                <w:rFonts w:ascii="仿宋_GB2312" w:hAnsi="仿宋_GB2312" w:cs="仿宋_GB2312" w:eastAsia="仿宋_GB2312"/>
              </w:rPr>
              <w:t>配方肥提供生产厂家有效期内的肥料登记证或农业农村部登记备案证明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氮肥资质要求</w:t>
            </w:r>
          </w:p>
        </w:tc>
        <w:tc>
          <w:tcPr>
            <w:tcW w:type="dxa" w:w="3322"/>
          </w:tcPr>
          <w:p>
            <w:pPr>
              <w:pStyle w:val="null3"/>
            </w:pPr>
            <w:r>
              <w:rPr>
                <w:rFonts w:ascii="仿宋_GB2312" w:hAnsi="仿宋_GB2312" w:cs="仿宋_GB2312" w:eastAsia="仿宋_GB2312"/>
              </w:rPr>
              <w:t>氮肥提供生产厂家全国工业产品生产许可证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根据财库【2019】38号文规定，此项由采购人在谈判截止日当天在“信用中国”网站和中国政府采购网站进行查询，截图留档；如网站无供应商信息的，供应商须提供相关证明资料或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控股关系查询</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根据财库【2019】38号文规定，此项由采购人在谈判截止日当天在“国家企业信用信息公示系统”进行查询，截图留档；如网站无供应商信息的，供应商须提供相关证明资料或书面声明）</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提供供应商合法注册的法人或其他组织的营业执照/事业单位法人证书/非企业专业服务机构执业许可证/民办非企业单位登记证书</w:t>
            </w:r>
          </w:p>
        </w:tc>
        <w:tc>
          <w:tcPr>
            <w:tcW w:type="dxa" w:w="3322"/>
          </w:tcPr>
          <w:p>
            <w:pPr>
              <w:pStyle w:val="null3"/>
            </w:pPr>
            <w:r>
              <w:rPr>
                <w:rFonts w:ascii="仿宋_GB2312" w:hAnsi="仿宋_GB2312" w:cs="仿宋_GB2312" w:eastAsia="仿宋_GB2312"/>
              </w:rPr>
              <w:t>提供供应商合法注册的法人或其他组织的营业执照/事业单位法人证书/非企业专业服务机构执业许可证/民办非企业单位登记证书</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财务状况报告：提供具有财务审计资质单位出具合法有效的2024年度财务报告（成立时间至开标时间不足一年的可提供成立后任意时段的资产负债表）或开标前六个月内其基本账户银行出具的资信证明或政府采购信用担保机构出具的担保函</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税收缴纳证明：提供2025年2月至今任意一个月的缴纳凭据（增值税、企业所得税至少一种）；（依法免税的供应商应提供相关文件证明）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社会保障资金缴纳证明：提供2025年7月至今任意一个月的社保缴纳凭据或社保机构开具的社会保险参保缴纳情况证明；（依法不需要缴纳社会保障资金的供应商应提供相关证明）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提供具有履行本合同所必需的设备和专业技术能力的说明及承诺</w:t>
            </w:r>
          </w:p>
        </w:tc>
        <w:tc>
          <w:tcPr>
            <w:tcW w:type="dxa" w:w="3322"/>
          </w:tcPr>
          <w:p>
            <w:pPr>
              <w:pStyle w:val="null3"/>
            </w:pPr>
            <w:r>
              <w:rPr>
                <w:rFonts w:ascii="仿宋_GB2312" w:hAnsi="仿宋_GB2312" w:cs="仿宋_GB2312" w:eastAsia="仿宋_GB2312"/>
              </w:rPr>
              <w:t>提供具有履行本合同所必需的设备和专业技术能力的说明及承诺；（提供书面说明及承诺，加盖供应商公章）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提供参加政府采购活动前三年内在经营活动中没有重大违法记录的书面声明（提供书面声明，加盖供应商公章）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授权委托书（附法定代表人身份证复印件及被授权人身份证复印件）；法定代表人直接参加谈判提供法定代表人资格证明书（附法定代表人身份证复印件）；采购文件凡是法定代表人之处，非法人单位的负责人均参照执行；（式样见响应文件格式）</w:t>
            </w:r>
          </w:p>
        </w:tc>
        <w:tc>
          <w:tcPr>
            <w:tcW w:type="dxa" w:w="1661"/>
          </w:tcPr>
          <w:p>
            <w:pPr>
              <w:pStyle w:val="null3"/>
            </w:pPr>
            <w:r>
              <w:rPr>
                <w:rFonts w:ascii="仿宋_GB2312" w:hAnsi="仿宋_GB2312" w:cs="仿宋_GB2312" w:eastAsia="仿宋_GB2312"/>
              </w:rPr>
              <w:t>授权委托书.docx 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氮肥资质要求</w:t>
            </w:r>
          </w:p>
        </w:tc>
        <w:tc>
          <w:tcPr>
            <w:tcW w:type="dxa" w:w="3322"/>
          </w:tcPr>
          <w:p>
            <w:pPr>
              <w:pStyle w:val="null3"/>
            </w:pPr>
            <w:r>
              <w:rPr>
                <w:rFonts w:ascii="仿宋_GB2312" w:hAnsi="仿宋_GB2312" w:cs="仿宋_GB2312" w:eastAsia="仿宋_GB2312"/>
              </w:rPr>
              <w:t>氮肥提供生产厂家全国工业产品生产许可证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根据财库【2019】38号文规定，此项由采购人在谈判截止日当天在“信用中国”网站和中国政府采购网站进行查询，截图留档；如网站无供应商信息的，供应商须提供相关证明资料或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控股关系查询</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根据财库【2019】38号文规定，此项由采购人在谈判截止日当天在“国家企业信用信息公示系统”进行查询，截图留档；如网站无供应商信息的，供应商须提供相关证明资料或书面声明）</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提供供应商合法注册的法人或其他组织的营业执照/事业单位法人证书/非企业专业服务机构执业许可证/民办非企业单位登记证书</w:t>
            </w:r>
          </w:p>
        </w:tc>
        <w:tc>
          <w:tcPr>
            <w:tcW w:type="dxa" w:w="3322"/>
          </w:tcPr>
          <w:p>
            <w:pPr>
              <w:pStyle w:val="null3"/>
            </w:pPr>
            <w:r>
              <w:rPr>
                <w:rFonts w:ascii="仿宋_GB2312" w:hAnsi="仿宋_GB2312" w:cs="仿宋_GB2312" w:eastAsia="仿宋_GB2312"/>
              </w:rPr>
              <w:t>提供供应商合法注册的法人或其他组织的营业执照/事业单位法人证书/非企业专业服务机构执业许可证/民办非企业单位登记证书</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财务状况报告：提供具有财务审计资质单位出具合法有效的2024年度财务报告（成立时间至开标时间不足一年的可提供成立后任意时段的资产负债表）或开标前六个月内其基本账户银行出具的资信证明或政府采购信用担保机构出具的担保函</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税收缴纳证明：提供2025年2月至今任意一个月的缴纳凭据（增值税、企业所得税至少一种）；（依法免税的供应商应提供相关文件证明）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社会保障资金缴纳证明：提供2025年7月至今任意一个月的社保缴纳凭据或社保机构开具的社会保险参保缴纳情况证明；（依法不需要缴纳社会保障资金的供应商应提供相关证明）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提供具有履行本合同所必需的设备和专业技术能力的说明及承诺</w:t>
            </w:r>
          </w:p>
        </w:tc>
        <w:tc>
          <w:tcPr>
            <w:tcW w:type="dxa" w:w="3322"/>
          </w:tcPr>
          <w:p>
            <w:pPr>
              <w:pStyle w:val="null3"/>
            </w:pPr>
            <w:r>
              <w:rPr>
                <w:rFonts w:ascii="仿宋_GB2312" w:hAnsi="仿宋_GB2312" w:cs="仿宋_GB2312" w:eastAsia="仿宋_GB2312"/>
              </w:rPr>
              <w:t>提供具有履行本合同所必需的设备和专业技术能力的说明及承诺；（提供书面说明及承诺，加盖供应商公章）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提供参加政府采购活动前三年内在经营活动中没有重大违法记录的书面声明（提供书面声明，加盖供应商公章）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授权委托书（附法定代表人身份证复印件及被授权人身份证复印件）；法定代表人直接参加谈判提供法定代表人资格证明书（附法定代表人身份证复印件）；采购文件凡是法定代表人之处，非法人单位的负责人均参照执行；（式样见响应文件格式）</w:t>
            </w:r>
          </w:p>
        </w:tc>
        <w:tc>
          <w:tcPr>
            <w:tcW w:type="dxa" w:w="1661"/>
          </w:tcPr>
          <w:p>
            <w:pPr>
              <w:pStyle w:val="null3"/>
            </w:pPr>
            <w:r>
              <w:rPr>
                <w:rFonts w:ascii="仿宋_GB2312" w:hAnsi="仿宋_GB2312" w:cs="仿宋_GB2312" w:eastAsia="仿宋_GB2312"/>
              </w:rPr>
              <w:t>授权委托书.docx 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所投药剂资质要求</w:t>
            </w:r>
          </w:p>
        </w:tc>
        <w:tc>
          <w:tcPr>
            <w:tcW w:type="dxa" w:w="3322"/>
          </w:tcPr>
          <w:p>
            <w:pPr>
              <w:pStyle w:val="null3"/>
            </w:pPr>
            <w:r>
              <w:rPr>
                <w:rFonts w:ascii="仿宋_GB2312" w:hAnsi="仿宋_GB2312" w:cs="仿宋_GB2312" w:eastAsia="仿宋_GB2312"/>
              </w:rPr>
              <w:t>供应商须具有农药经营许可证，并提供所投药剂生产厂家合法有效的农药登记证、农药生产许可证、农药产品标准证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飞防作业资质要求</w:t>
            </w:r>
          </w:p>
        </w:tc>
        <w:tc>
          <w:tcPr>
            <w:tcW w:type="dxa" w:w="3322"/>
          </w:tcPr>
          <w:p>
            <w:pPr>
              <w:pStyle w:val="null3"/>
            </w:pPr>
            <w:r>
              <w:rPr>
                <w:rFonts w:ascii="仿宋_GB2312" w:hAnsi="仿宋_GB2312" w:cs="仿宋_GB2312" w:eastAsia="仿宋_GB2312"/>
              </w:rPr>
              <w:t>民用无人驾驶航空器经营许可证或民用无人驾驶航空器运营合格证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根据财库【2019】38号文规定，此项由采购人在谈判截止日当天在“信用中国”网站和中国政府采购网站进行查询，截图留档；如网站无供应商信息的，供应商须提供相关证明资料或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控股关系查询</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根据财库【2019】38号文规定，此项由采购人在谈判截止日当天在“国家企业信用信息公示系统”进行查询，截图留档；如网站无供应商信息的，供应商须提供相关证明资料或书面声明）</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盖章、签字</w:t>
            </w:r>
          </w:p>
        </w:tc>
        <w:tc>
          <w:tcPr>
            <w:tcW w:type="dxa" w:w="3322"/>
          </w:tcPr>
          <w:p>
            <w:pPr>
              <w:pStyle w:val="null3"/>
            </w:pPr>
            <w:r>
              <w:rPr>
                <w:rFonts w:ascii="仿宋_GB2312" w:hAnsi="仿宋_GB2312" w:cs="仿宋_GB2312" w:eastAsia="仿宋_GB2312"/>
              </w:rPr>
              <w:t>谈判响应文件按照谈判文件的要求盖章、签字</w:t>
            </w:r>
          </w:p>
        </w:tc>
        <w:tc>
          <w:tcPr>
            <w:tcW w:type="dxa" w:w="1661"/>
          </w:tcPr>
          <w:p>
            <w:pPr>
              <w:pStyle w:val="null3"/>
            </w:pPr>
            <w:r>
              <w:rPr>
                <w:rFonts w:ascii="仿宋_GB2312" w:hAnsi="仿宋_GB2312" w:cs="仿宋_GB2312" w:eastAsia="仿宋_GB2312"/>
              </w:rPr>
              <w:t>被授权人承诺书.docx 授权委托书.docx 中小企业声明函 分项报价.docx 商务条款响应偏离表.docx 响应文件封面 技术规格响应偏离表.docx 拒绝政府采购领域商业贿赂承诺书.docx 残疾人福利性单位声明函 供应商参与政府采购活动的承诺函.docx 标的清单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谈判报价</w:t>
            </w:r>
          </w:p>
        </w:tc>
        <w:tc>
          <w:tcPr>
            <w:tcW w:type="dxa" w:w="3322"/>
          </w:tcPr>
          <w:p>
            <w:pPr>
              <w:pStyle w:val="null3"/>
            </w:pPr>
            <w:r>
              <w:rPr>
                <w:rFonts w:ascii="仿宋_GB2312" w:hAnsi="仿宋_GB2312" w:cs="仿宋_GB2312" w:eastAsia="仿宋_GB2312"/>
              </w:rPr>
              <w:t>谈判报价未超过采购预算</w:t>
            </w:r>
          </w:p>
        </w:tc>
        <w:tc>
          <w:tcPr>
            <w:tcW w:type="dxa" w:w="1661"/>
          </w:tcPr>
          <w:p>
            <w:pPr>
              <w:pStyle w:val="null3"/>
            </w:pPr>
            <w:r>
              <w:rPr>
                <w:rFonts w:ascii="仿宋_GB2312" w:hAnsi="仿宋_GB2312" w:cs="仿宋_GB2312" w:eastAsia="仿宋_GB2312"/>
              </w:rPr>
              <w:t>标的清单 分项报价.docx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谈判有效期</w:t>
            </w:r>
          </w:p>
        </w:tc>
        <w:tc>
          <w:tcPr>
            <w:tcW w:type="dxa" w:w="3322"/>
          </w:tcPr>
          <w:p>
            <w:pPr>
              <w:pStyle w:val="null3"/>
            </w:pPr>
            <w:r>
              <w:rPr>
                <w:rFonts w:ascii="仿宋_GB2312" w:hAnsi="仿宋_GB2312" w:cs="仿宋_GB2312" w:eastAsia="仿宋_GB2312"/>
              </w:rPr>
              <w:t>谈判有效期符合谈判文件的要求</w:t>
            </w:r>
          </w:p>
        </w:tc>
        <w:tc>
          <w:tcPr>
            <w:tcW w:type="dxa" w:w="1661"/>
          </w:tcPr>
          <w:p>
            <w:pPr>
              <w:pStyle w:val="null3"/>
            </w:pPr>
            <w:r>
              <w:rPr>
                <w:rFonts w:ascii="仿宋_GB2312" w:hAnsi="仿宋_GB2312" w:cs="仿宋_GB2312" w:eastAsia="仿宋_GB2312"/>
              </w:rPr>
              <w:t>授权委托书.docx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对谈判文件商务要求、技术要求作出明确响应</w:t>
            </w:r>
          </w:p>
        </w:tc>
        <w:tc>
          <w:tcPr>
            <w:tcW w:type="dxa" w:w="3322"/>
          </w:tcPr>
          <w:p>
            <w:pPr>
              <w:pStyle w:val="null3"/>
            </w:pPr>
            <w:r>
              <w:rPr>
                <w:rFonts w:ascii="仿宋_GB2312" w:hAnsi="仿宋_GB2312" w:cs="仿宋_GB2312" w:eastAsia="仿宋_GB2312"/>
              </w:rPr>
              <w:t>对谈判文件商务要求作出明确响应；对谈判文件技术要求作出明确响应，对不得偏离的要求作了实质性响应</w:t>
            </w:r>
          </w:p>
        </w:tc>
        <w:tc>
          <w:tcPr>
            <w:tcW w:type="dxa" w:w="1661"/>
          </w:tcPr>
          <w:p>
            <w:pPr>
              <w:pStyle w:val="null3"/>
            </w:pPr>
            <w:r>
              <w:rPr>
                <w:rFonts w:ascii="仿宋_GB2312" w:hAnsi="仿宋_GB2312" w:cs="仿宋_GB2312" w:eastAsia="仿宋_GB2312"/>
              </w:rPr>
              <w:t>技术规格响应偏离表.docx 商务条款响应偏离表.docx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谈判响应文件未有采购人不能接受的附加条件</w:t>
            </w:r>
          </w:p>
        </w:tc>
        <w:tc>
          <w:tcPr>
            <w:tcW w:type="dxa" w:w="3322"/>
          </w:tcPr>
          <w:p>
            <w:pPr>
              <w:pStyle w:val="null3"/>
            </w:pPr>
            <w:r>
              <w:rPr>
                <w:rFonts w:ascii="仿宋_GB2312" w:hAnsi="仿宋_GB2312" w:cs="仿宋_GB2312" w:eastAsia="仿宋_GB2312"/>
              </w:rPr>
              <w:t>谈判响应文件未有采购人不能接受的附加条件</w:t>
            </w:r>
          </w:p>
        </w:tc>
        <w:tc>
          <w:tcPr>
            <w:tcW w:type="dxa" w:w="1661"/>
          </w:tcPr>
          <w:p>
            <w:pPr>
              <w:pStyle w:val="null3"/>
            </w:pPr>
            <w:r>
              <w:rPr>
                <w:rFonts w:ascii="仿宋_GB2312" w:hAnsi="仿宋_GB2312" w:cs="仿宋_GB2312" w:eastAsia="仿宋_GB2312"/>
              </w:rPr>
              <w:t>项目实施方案.docx 供应商认为有必要补充说明的事宜.docx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法律、法规和谈判文件规定的其他无效响应情形</w:t>
            </w:r>
          </w:p>
        </w:tc>
        <w:tc>
          <w:tcPr>
            <w:tcW w:type="dxa" w:w="3322"/>
          </w:tcPr>
          <w:p>
            <w:pPr>
              <w:pStyle w:val="null3"/>
            </w:pPr>
            <w:r>
              <w:rPr>
                <w:rFonts w:ascii="仿宋_GB2312" w:hAnsi="仿宋_GB2312" w:cs="仿宋_GB2312" w:eastAsia="仿宋_GB2312"/>
              </w:rPr>
              <w:t>法律、法规和谈判文件规定的其他无效响应情形</w:t>
            </w:r>
          </w:p>
        </w:tc>
        <w:tc>
          <w:tcPr>
            <w:tcW w:type="dxa" w:w="1661"/>
          </w:tcPr>
          <w:p>
            <w:pPr>
              <w:pStyle w:val="null3"/>
            </w:pPr>
            <w:r>
              <w:rPr>
                <w:rFonts w:ascii="仿宋_GB2312" w:hAnsi="仿宋_GB2312" w:cs="仿宋_GB2312" w:eastAsia="仿宋_GB2312"/>
              </w:rPr>
              <w:t>项目实施方案.docx 供应商认为有必要补充说明的事宜.docx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合法来源渠道证明文件</w:t>
            </w:r>
          </w:p>
        </w:tc>
        <w:tc>
          <w:tcPr>
            <w:tcW w:type="dxa" w:w="3322"/>
          </w:tcPr>
          <w:p>
            <w:pPr>
              <w:pStyle w:val="null3"/>
            </w:pPr>
            <w:r>
              <w:rPr>
                <w:rFonts w:ascii="仿宋_GB2312" w:hAnsi="仿宋_GB2312" w:cs="仿宋_GB2312" w:eastAsia="仿宋_GB2312"/>
              </w:rPr>
              <w:t>按照谈判文件要求提供所投产品的合法来源渠道证明文件（包括但不限于原厂授权、代理协议、销售协议等）；</w:t>
            </w:r>
          </w:p>
        </w:tc>
        <w:tc>
          <w:tcPr>
            <w:tcW w:type="dxa" w:w="1661"/>
          </w:tcPr>
          <w:p>
            <w:pPr>
              <w:pStyle w:val="null3"/>
            </w:pPr>
            <w:r>
              <w:rPr>
                <w:rFonts w:ascii="仿宋_GB2312" w:hAnsi="仿宋_GB2312" w:cs="仿宋_GB2312" w:eastAsia="仿宋_GB2312"/>
              </w:rPr>
              <w:t>产品的合法渠道证明文件.docx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盖章、签字</w:t>
            </w:r>
          </w:p>
        </w:tc>
        <w:tc>
          <w:tcPr>
            <w:tcW w:type="dxa" w:w="3322"/>
          </w:tcPr>
          <w:p>
            <w:pPr>
              <w:pStyle w:val="null3"/>
            </w:pPr>
            <w:r>
              <w:rPr>
                <w:rFonts w:ascii="仿宋_GB2312" w:hAnsi="仿宋_GB2312" w:cs="仿宋_GB2312" w:eastAsia="仿宋_GB2312"/>
              </w:rPr>
              <w:t>谈判响应文件按照谈判文件的要求盖章、签字</w:t>
            </w:r>
          </w:p>
        </w:tc>
        <w:tc>
          <w:tcPr>
            <w:tcW w:type="dxa" w:w="1661"/>
          </w:tcPr>
          <w:p>
            <w:pPr>
              <w:pStyle w:val="null3"/>
            </w:pPr>
            <w:r>
              <w:rPr>
                <w:rFonts w:ascii="仿宋_GB2312" w:hAnsi="仿宋_GB2312" w:cs="仿宋_GB2312" w:eastAsia="仿宋_GB2312"/>
              </w:rPr>
              <w:t>被授权人承诺书.docx 中小企业声明函 授权委托书.docx 商务条款响应偏离表.docx 分项报价.docx 响应文件封面 技术规格响应偏离表.docx 残疾人福利性单位声明函 拒绝政府采购领域商业贿赂承诺书.docx 供应商参与政府采购活动的承诺函.docx 标的清单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谈判报价</w:t>
            </w:r>
          </w:p>
        </w:tc>
        <w:tc>
          <w:tcPr>
            <w:tcW w:type="dxa" w:w="3322"/>
          </w:tcPr>
          <w:p>
            <w:pPr>
              <w:pStyle w:val="null3"/>
            </w:pPr>
            <w:r>
              <w:rPr>
                <w:rFonts w:ascii="仿宋_GB2312" w:hAnsi="仿宋_GB2312" w:cs="仿宋_GB2312" w:eastAsia="仿宋_GB2312"/>
              </w:rPr>
              <w:t>谈判报价未超过采购预算</w:t>
            </w:r>
          </w:p>
        </w:tc>
        <w:tc>
          <w:tcPr>
            <w:tcW w:type="dxa" w:w="1661"/>
          </w:tcPr>
          <w:p>
            <w:pPr>
              <w:pStyle w:val="null3"/>
            </w:pPr>
            <w:r>
              <w:rPr>
                <w:rFonts w:ascii="仿宋_GB2312" w:hAnsi="仿宋_GB2312" w:cs="仿宋_GB2312" w:eastAsia="仿宋_GB2312"/>
              </w:rPr>
              <w:t>标的清单 分项报价.docx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谈判有效期</w:t>
            </w:r>
          </w:p>
        </w:tc>
        <w:tc>
          <w:tcPr>
            <w:tcW w:type="dxa" w:w="3322"/>
          </w:tcPr>
          <w:p>
            <w:pPr>
              <w:pStyle w:val="null3"/>
            </w:pPr>
            <w:r>
              <w:rPr>
                <w:rFonts w:ascii="仿宋_GB2312" w:hAnsi="仿宋_GB2312" w:cs="仿宋_GB2312" w:eastAsia="仿宋_GB2312"/>
              </w:rPr>
              <w:t>谈判有效期符合谈判文件的要求</w:t>
            </w:r>
          </w:p>
        </w:tc>
        <w:tc>
          <w:tcPr>
            <w:tcW w:type="dxa" w:w="1661"/>
          </w:tcPr>
          <w:p>
            <w:pPr>
              <w:pStyle w:val="null3"/>
            </w:pPr>
            <w:r>
              <w:rPr>
                <w:rFonts w:ascii="仿宋_GB2312" w:hAnsi="仿宋_GB2312" w:cs="仿宋_GB2312" w:eastAsia="仿宋_GB2312"/>
              </w:rPr>
              <w:t>授权委托书.docx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对谈判文件商务要求、技术要求作出明确响应</w:t>
            </w:r>
          </w:p>
        </w:tc>
        <w:tc>
          <w:tcPr>
            <w:tcW w:type="dxa" w:w="3322"/>
          </w:tcPr>
          <w:p>
            <w:pPr>
              <w:pStyle w:val="null3"/>
            </w:pPr>
            <w:r>
              <w:rPr>
                <w:rFonts w:ascii="仿宋_GB2312" w:hAnsi="仿宋_GB2312" w:cs="仿宋_GB2312" w:eastAsia="仿宋_GB2312"/>
              </w:rPr>
              <w:t>对谈判文件商务要求作出明确响应；对谈判文件技术要求作出明确响应，对不得偏离的要求作了实质性响应</w:t>
            </w:r>
          </w:p>
        </w:tc>
        <w:tc>
          <w:tcPr>
            <w:tcW w:type="dxa" w:w="1661"/>
          </w:tcPr>
          <w:p>
            <w:pPr>
              <w:pStyle w:val="null3"/>
            </w:pPr>
            <w:r>
              <w:rPr>
                <w:rFonts w:ascii="仿宋_GB2312" w:hAnsi="仿宋_GB2312" w:cs="仿宋_GB2312" w:eastAsia="仿宋_GB2312"/>
              </w:rPr>
              <w:t>技术规格响应偏离表.docx 商务条款响应偏离表.docx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谈判响应文件未有采购人不能接受的附加条件</w:t>
            </w:r>
          </w:p>
        </w:tc>
        <w:tc>
          <w:tcPr>
            <w:tcW w:type="dxa" w:w="3322"/>
          </w:tcPr>
          <w:p>
            <w:pPr>
              <w:pStyle w:val="null3"/>
            </w:pPr>
            <w:r>
              <w:rPr>
                <w:rFonts w:ascii="仿宋_GB2312" w:hAnsi="仿宋_GB2312" w:cs="仿宋_GB2312" w:eastAsia="仿宋_GB2312"/>
              </w:rPr>
              <w:t>谈判响应文件未有采购人不能接受的附加条件</w:t>
            </w:r>
          </w:p>
        </w:tc>
        <w:tc>
          <w:tcPr>
            <w:tcW w:type="dxa" w:w="1661"/>
          </w:tcPr>
          <w:p>
            <w:pPr>
              <w:pStyle w:val="null3"/>
            </w:pPr>
            <w:r>
              <w:rPr>
                <w:rFonts w:ascii="仿宋_GB2312" w:hAnsi="仿宋_GB2312" w:cs="仿宋_GB2312" w:eastAsia="仿宋_GB2312"/>
              </w:rPr>
              <w:t>项目实施方案.docx 供应商认为有必要补充说明的事宜.docx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法律、法规和谈判文件规定的其他无效响应情形</w:t>
            </w:r>
          </w:p>
        </w:tc>
        <w:tc>
          <w:tcPr>
            <w:tcW w:type="dxa" w:w="3322"/>
          </w:tcPr>
          <w:p>
            <w:pPr>
              <w:pStyle w:val="null3"/>
            </w:pPr>
            <w:r>
              <w:rPr>
                <w:rFonts w:ascii="仿宋_GB2312" w:hAnsi="仿宋_GB2312" w:cs="仿宋_GB2312" w:eastAsia="仿宋_GB2312"/>
              </w:rPr>
              <w:t>法律、法规和谈判文件规定的其他无效响应情形</w:t>
            </w:r>
          </w:p>
        </w:tc>
        <w:tc>
          <w:tcPr>
            <w:tcW w:type="dxa" w:w="1661"/>
          </w:tcPr>
          <w:p>
            <w:pPr>
              <w:pStyle w:val="null3"/>
            </w:pPr>
            <w:r>
              <w:rPr>
                <w:rFonts w:ascii="仿宋_GB2312" w:hAnsi="仿宋_GB2312" w:cs="仿宋_GB2312" w:eastAsia="仿宋_GB2312"/>
              </w:rPr>
              <w:t>项目实施方案.docx 供应商认为有必要补充说明的事宜.docx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合法来源渠道证明文件</w:t>
            </w:r>
          </w:p>
        </w:tc>
        <w:tc>
          <w:tcPr>
            <w:tcW w:type="dxa" w:w="3322"/>
          </w:tcPr>
          <w:p>
            <w:pPr>
              <w:pStyle w:val="null3"/>
            </w:pPr>
            <w:r>
              <w:rPr>
                <w:rFonts w:ascii="仿宋_GB2312" w:hAnsi="仿宋_GB2312" w:cs="仿宋_GB2312" w:eastAsia="仿宋_GB2312"/>
              </w:rPr>
              <w:t>按照谈判文件要求提供所投产品的合法来源渠道证明文件（包括但不限于原厂授权、代理协议、销售协议等）；</w:t>
            </w:r>
          </w:p>
        </w:tc>
        <w:tc>
          <w:tcPr>
            <w:tcW w:type="dxa" w:w="1661"/>
          </w:tcPr>
          <w:p>
            <w:pPr>
              <w:pStyle w:val="null3"/>
            </w:pPr>
            <w:r>
              <w:rPr>
                <w:rFonts w:ascii="仿宋_GB2312" w:hAnsi="仿宋_GB2312" w:cs="仿宋_GB2312" w:eastAsia="仿宋_GB2312"/>
              </w:rPr>
              <w:t>产品的合法渠道证明文件.docx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盖章、签字</w:t>
            </w:r>
          </w:p>
        </w:tc>
        <w:tc>
          <w:tcPr>
            <w:tcW w:type="dxa" w:w="3322"/>
          </w:tcPr>
          <w:p>
            <w:pPr>
              <w:pStyle w:val="null3"/>
            </w:pPr>
            <w:r>
              <w:rPr>
                <w:rFonts w:ascii="仿宋_GB2312" w:hAnsi="仿宋_GB2312" w:cs="仿宋_GB2312" w:eastAsia="仿宋_GB2312"/>
              </w:rPr>
              <w:t>谈判响应文件按照谈判文件的要求盖章、签字</w:t>
            </w:r>
          </w:p>
        </w:tc>
        <w:tc>
          <w:tcPr>
            <w:tcW w:type="dxa" w:w="1661"/>
          </w:tcPr>
          <w:p>
            <w:pPr>
              <w:pStyle w:val="null3"/>
            </w:pPr>
            <w:r>
              <w:rPr>
                <w:rFonts w:ascii="仿宋_GB2312" w:hAnsi="仿宋_GB2312" w:cs="仿宋_GB2312" w:eastAsia="仿宋_GB2312"/>
              </w:rPr>
              <w:t>被授权人承诺书.docx 中小企业声明函 授权委托书.docx 商务条款响应偏离表.docx 分项报价.docx 技术规格响应偏离表.docx 响应文件封面 拒绝政府采购领域商业贿赂承诺书.docx 残疾人福利性单位声明函 供应商参与政府采购活动的承诺函.docx 标的清单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谈判报价</w:t>
            </w:r>
          </w:p>
        </w:tc>
        <w:tc>
          <w:tcPr>
            <w:tcW w:type="dxa" w:w="3322"/>
          </w:tcPr>
          <w:p>
            <w:pPr>
              <w:pStyle w:val="null3"/>
            </w:pPr>
            <w:r>
              <w:rPr>
                <w:rFonts w:ascii="仿宋_GB2312" w:hAnsi="仿宋_GB2312" w:cs="仿宋_GB2312" w:eastAsia="仿宋_GB2312"/>
              </w:rPr>
              <w:t>谈判报价未超过采购预算</w:t>
            </w:r>
          </w:p>
        </w:tc>
        <w:tc>
          <w:tcPr>
            <w:tcW w:type="dxa" w:w="1661"/>
          </w:tcPr>
          <w:p>
            <w:pPr>
              <w:pStyle w:val="null3"/>
            </w:pPr>
            <w:r>
              <w:rPr>
                <w:rFonts w:ascii="仿宋_GB2312" w:hAnsi="仿宋_GB2312" w:cs="仿宋_GB2312" w:eastAsia="仿宋_GB2312"/>
              </w:rPr>
              <w:t>标的清单 分项报价.docx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谈判有效期</w:t>
            </w:r>
          </w:p>
        </w:tc>
        <w:tc>
          <w:tcPr>
            <w:tcW w:type="dxa" w:w="3322"/>
          </w:tcPr>
          <w:p>
            <w:pPr>
              <w:pStyle w:val="null3"/>
            </w:pPr>
            <w:r>
              <w:rPr>
                <w:rFonts w:ascii="仿宋_GB2312" w:hAnsi="仿宋_GB2312" w:cs="仿宋_GB2312" w:eastAsia="仿宋_GB2312"/>
              </w:rPr>
              <w:t>谈判有效期符合谈判文件的要求</w:t>
            </w:r>
          </w:p>
        </w:tc>
        <w:tc>
          <w:tcPr>
            <w:tcW w:type="dxa" w:w="1661"/>
          </w:tcPr>
          <w:p>
            <w:pPr>
              <w:pStyle w:val="null3"/>
            </w:pPr>
            <w:r>
              <w:rPr>
                <w:rFonts w:ascii="仿宋_GB2312" w:hAnsi="仿宋_GB2312" w:cs="仿宋_GB2312" w:eastAsia="仿宋_GB2312"/>
              </w:rPr>
              <w:t>授权委托书.docx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对谈判文件商务要求、技术要求作出明确响应</w:t>
            </w:r>
          </w:p>
        </w:tc>
        <w:tc>
          <w:tcPr>
            <w:tcW w:type="dxa" w:w="3322"/>
          </w:tcPr>
          <w:p>
            <w:pPr>
              <w:pStyle w:val="null3"/>
            </w:pPr>
            <w:r>
              <w:rPr>
                <w:rFonts w:ascii="仿宋_GB2312" w:hAnsi="仿宋_GB2312" w:cs="仿宋_GB2312" w:eastAsia="仿宋_GB2312"/>
              </w:rPr>
              <w:t>对谈判文件商务要求作出明确响应；对谈判文件技术要求作出明确响应，对不得偏离的要求作了实质性响应</w:t>
            </w:r>
          </w:p>
        </w:tc>
        <w:tc>
          <w:tcPr>
            <w:tcW w:type="dxa" w:w="1661"/>
          </w:tcPr>
          <w:p>
            <w:pPr>
              <w:pStyle w:val="null3"/>
            </w:pPr>
            <w:r>
              <w:rPr>
                <w:rFonts w:ascii="仿宋_GB2312" w:hAnsi="仿宋_GB2312" w:cs="仿宋_GB2312" w:eastAsia="仿宋_GB2312"/>
              </w:rPr>
              <w:t>技术规格响应偏离表.docx 商务条款响应偏离表.docx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谈判响应文件未有采购人不能接受的附加条件</w:t>
            </w:r>
          </w:p>
        </w:tc>
        <w:tc>
          <w:tcPr>
            <w:tcW w:type="dxa" w:w="3322"/>
          </w:tcPr>
          <w:p>
            <w:pPr>
              <w:pStyle w:val="null3"/>
            </w:pPr>
            <w:r>
              <w:rPr>
                <w:rFonts w:ascii="仿宋_GB2312" w:hAnsi="仿宋_GB2312" w:cs="仿宋_GB2312" w:eastAsia="仿宋_GB2312"/>
              </w:rPr>
              <w:t>谈判响应文件未有采购人不能接受的附加条件</w:t>
            </w:r>
          </w:p>
        </w:tc>
        <w:tc>
          <w:tcPr>
            <w:tcW w:type="dxa" w:w="1661"/>
          </w:tcPr>
          <w:p>
            <w:pPr>
              <w:pStyle w:val="null3"/>
            </w:pPr>
            <w:r>
              <w:rPr>
                <w:rFonts w:ascii="仿宋_GB2312" w:hAnsi="仿宋_GB2312" w:cs="仿宋_GB2312" w:eastAsia="仿宋_GB2312"/>
              </w:rPr>
              <w:t>项目实施方案.docx 供应商认为有必要补充说明的事宜.docx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法律、法规和谈判文件规定的其他无效响应情形</w:t>
            </w:r>
          </w:p>
        </w:tc>
        <w:tc>
          <w:tcPr>
            <w:tcW w:type="dxa" w:w="3322"/>
          </w:tcPr>
          <w:p>
            <w:pPr>
              <w:pStyle w:val="null3"/>
            </w:pPr>
            <w:r>
              <w:rPr>
                <w:rFonts w:ascii="仿宋_GB2312" w:hAnsi="仿宋_GB2312" w:cs="仿宋_GB2312" w:eastAsia="仿宋_GB2312"/>
              </w:rPr>
              <w:t>法律、法规和谈判文件规定的其他无效响应情形</w:t>
            </w:r>
          </w:p>
        </w:tc>
        <w:tc>
          <w:tcPr>
            <w:tcW w:type="dxa" w:w="1661"/>
          </w:tcPr>
          <w:p>
            <w:pPr>
              <w:pStyle w:val="null3"/>
            </w:pPr>
            <w:r>
              <w:rPr>
                <w:rFonts w:ascii="仿宋_GB2312" w:hAnsi="仿宋_GB2312" w:cs="仿宋_GB2312" w:eastAsia="仿宋_GB2312"/>
              </w:rPr>
              <w:t>项目实施方案.docx 供应商认为有必要补充说明的事宜.docx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合法来源渠道证明文件</w:t>
            </w:r>
          </w:p>
        </w:tc>
        <w:tc>
          <w:tcPr>
            <w:tcW w:type="dxa" w:w="3322"/>
          </w:tcPr>
          <w:p>
            <w:pPr>
              <w:pStyle w:val="null3"/>
            </w:pPr>
            <w:r>
              <w:rPr>
                <w:rFonts w:ascii="仿宋_GB2312" w:hAnsi="仿宋_GB2312" w:cs="仿宋_GB2312" w:eastAsia="仿宋_GB2312"/>
              </w:rPr>
              <w:t>按照谈判文件要求提供所投产品的合法来源渠道证明文件（包括但不限于原厂授权、代理协议、销售协议等）；</w:t>
            </w:r>
          </w:p>
        </w:tc>
        <w:tc>
          <w:tcPr>
            <w:tcW w:type="dxa" w:w="1661"/>
          </w:tcPr>
          <w:p>
            <w:pPr>
              <w:pStyle w:val="null3"/>
            </w:pPr>
            <w:r>
              <w:rPr>
                <w:rFonts w:ascii="仿宋_GB2312" w:hAnsi="仿宋_GB2312" w:cs="仿宋_GB2312" w:eastAsia="仿宋_GB2312"/>
              </w:rPr>
              <w:t>产品的合法渠道证明文件.docx</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2：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3：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rPr>
              <w:t xml:space="preserve"> 关联投标（响应）文件格式文件</w:t>
            </w:r>
          </w:p>
        </w:tc>
      </w:tr>
      <w:tr>
        <w:tc>
          <w:tcPr>
            <w:tcW w:type="dxa" w:w="58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910"/>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rPr>
              <w:t xml:space="preserve"> 关联投标（响应）文件格式文件</w:t>
            </w:r>
          </w:p>
        </w:tc>
      </w:tr>
      <w:tr>
        <w:tc>
          <w:tcPr>
            <w:tcW w:type="dxa" w:w="58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910"/>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rPr>
              <w:t xml:space="preserve"> 关联投标（响应）文件格式文件</w:t>
            </w:r>
          </w:p>
        </w:tc>
      </w:tr>
      <w:tr>
        <w:tc>
          <w:tcPr>
            <w:tcW w:type="dxa" w:w="58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910"/>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谈判小组依据谈判文件的要求，经过评审、谈判、澄清、最后报价等程序后，从质量和服务均能满足谈判文件实质性响应要求的供应商中，按照最后报价由低到高的顺序推荐成交候选人。</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谈判小组依据谈判文件的要求，经过评审、谈判、澄清、最后报价等程序后，从质量和服务均能满足谈判文件实质性响应要求的供应商中，按照最后报价由低到高的顺序推荐成交候选人。</w:t>
      </w:r>
    </w:p>
    <w:p>
      <w:pPr>
        <w:pStyle w:val="null3"/>
      </w:pPr>
      <w:r>
        <w:rPr>
          <w:rFonts w:ascii="仿宋_GB2312" w:hAnsi="仿宋_GB2312" w:cs="仿宋_GB2312" w:eastAsia="仿宋_GB2312"/>
        </w:rPr>
        <w:t>采购包3：</w:t>
      </w:r>
      <w:r>
        <w:rPr>
          <w:rFonts w:ascii="仿宋_GB2312" w:hAnsi="仿宋_GB2312" w:cs="仿宋_GB2312" w:eastAsia="仿宋_GB2312"/>
        </w:rPr>
        <w:t>3家；</w:t>
      </w:r>
      <w:r>
        <w:rPr>
          <w:rFonts w:ascii="仿宋_GB2312" w:hAnsi="仿宋_GB2312" w:cs="仿宋_GB2312" w:eastAsia="仿宋_GB2312"/>
        </w:rPr>
        <w:t>谈判小组依据谈判文件的要求，经过评审、谈判、澄清、最后报价等程序后，从质量和服务均能满足谈判文件实质性响应要求的供应商中，按照最后报价由低到高的顺序推荐成交候选人。</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详见附件：被授权人承诺书.docx</w:t>
      </w:r>
    </w:p>
    <w:p>
      <w:pPr>
        <w:pStyle w:val="null3"/>
        <w:ind w:firstLine="960"/>
      </w:pPr>
      <w:r>
        <w:rPr>
          <w:rFonts w:ascii="仿宋_GB2312" w:hAnsi="仿宋_GB2312" w:cs="仿宋_GB2312" w:eastAsia="仿宋_GB2312"/>
        </w:rPr>
        <w:t>详见附件：分项报价.docx</w:t>
      </w:r>
    </w:p>
    <w:p>
      <w:pPr>
        <w:pStyle w:val="null3"/>
        <w:ind w:firstLine="960"/>
      </w:pPr>
      <w:r>
        <w:rPr>
          <w:rFonts w:ascii="仿宋_GB2312" w:hAnsi="仿宋_GB2312" w:cs="仿宋_GB2312" w:eastAsia="仿宋_GB2312"/>
        </w:rPr>
        <w:t>详见附件：供应商参与政府采购活动的承诺函.docx</w:t>
      </w:r>
    </w:p>
    <w:p>
      <w:pPr>
        <w:pStyle w:val="null3"/>
        <w:ind w:firstLine="960"/>
      </w:pPr>
      <w:r>
        <w:rPr>
          <w:rFonts w:ascii="仿宋_GB2312" w:hAnsi="仿宋_GB2312" w:cs="仿宋_GB2312" w:eastAsia="仿宋_GB2312"/>
        </w:rPr>
        <w:t>详见附件：供应商认为有必要补充说明的事宜.docx</w:t>
      </w:r>
    </w:p>
    <w:p>
      <w:pPr>
        <w:pStyle w:val="null3"/>
        <w:ind w:firstLine="960"/>
      </w:pPr>
      <w:r>
        <w:rPr>
          <w:rFonts w:ascii="仿宋_GB2312" w:hAnsi="仿宋_GB2312" w:cs="仿宋_GB2312" w:eastAsia="仿宋_GB2312"/>
        </w:rPr>
        <w:t>详见附件：技术规格响应偏离表.docx</w:t>
      </w:r>
    </w:p>
    <w:p>
      <w:pPr>
        <w:pStyle w:val="null3"/>
        <w:ind w:firstLine="960"/>
      </w:pPr>
      <w:r>
        <w:rPr>
          <w:rFonts w:ascii="仿宋_GB2312" w:hAnsi="仿宋_GB2312" w:cs="仿宋_GB2312" w:eastAsia="仿宋_GB2312"/>
        </w:rPr>
        <w:t>详见附件：拒绝政府采购领域商业贿赂承诺书.docx</w:t>
      </w:r>
    </w:p>
    <w:p>
      <w:pPr>
        <w:pStyle w:val="null3"/>
        <w:ind w:firstLine="960"/>
      </w:pPr>
      <w:r>
        <w:rPr>
          <w:rFonts w:ascii="仿宋_GB2312" w:hAnsi="仿宋_GB2312" w:cs="仿宋_GB2312" w:eastAsia="仿宋_GB2312"/>
        </w:rPr>
        <w:t>详见附件：商务条款响应偏离表.docx</w:t>
      </w:r>
    </w:p>
    <w:p>
      <w:pPr>
        <w:pStyle w:val="null3"/>
        <w:ind w:firstLine="960"/>
      </w:pPr>
      <w:r>
        <w:rPr>
          <w:rFonts w:ascii="仿宋_GB2312" w:hAnsi="仿宋_GB2312" w:cs="仿宋_GB2312" w:eastAsia="仿宋_GB2312"/>
        </w:rPr>
        <w:t>详见附件：授权委托书.docx</w:t>
      </w:r>
    </w:p>
    <w:p>
      <w:pPr>
        <w:pStyle w:val="null3"/>
        <w:ind w:firstLine="960"/>
      </w:pPr>
      <w:r>
        <w:rPr>
          <w:rFonts w:ascii="仿宋_GB2312" w:hAnsi="仿宋_GB2312" w:cs="仿宋_GB2312" w:eastAsia="仿宋_GB2312"/>
        </w:rPr>
        <w:t>详见附件：项目实施方案.docx</w:t>
      </w:r>
    </w:p>
    <w:p>
      <w:pPr>
        <w:pStyle w:val="null3"/>
        <w:ind w:firstLine="960"/>
      </w:pPr>
      <w:r>
        <w:rPr>
          <w:rFonts w:ascii="仿宋_GB2312" w:hAnsi="仿宋_GB2312" w:cs="仿宋_GB2312" w:eastAsia="仿宋_GB2312"/>
        </w:rPr>
        <w:t>详见附件：产品的合法渠道证明文件.docx</w:t>
      </w:r>
    </w:p>
    <w:p>
      <w:pPr>
        <w:pStyle w:val="null3"/>
        <w:ind w:firstLine="960"/>
      </w:pPr>
      <w:r>
        <w:rPr>
          <w:rFonts w:ascii="仿宋_GB2312" w:hAnsi="仿宋_GB2312" w:cs="仿宋_GB2312" w:eastAsia="仿宋_GB2312"/>
        </w:rPr>
        <w:t>详见附件：资格证明文件.docx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详见附件：被授权人承诺书.docx</w:t>
      </w:r>
    </w:p>
    <w:p>
      <w:pPr>
        <w:pStyle w:val="null3"/>
        <w:ind w:firstLine="960"/>
      </w:pPr>
      <w:r>
        <w:rPr>
          <w:rFonts w:ascii="仿宋_GB2312" w:hAnsi="仿宋_GB2312" w:cs="仿宋_GB2312" w:eastAsia="仿宋_GB2312"/>
        </w:rPr>
        <w:t>详见附件：分项报价.docx</w:t>
      </w:r>
    </w:p>
    <w:p>
      <w:pPr>
        <w:pStyle w:val="null3"/>
        <w:ind w:firstLine="960"/>
      </w:pPr>
      <w:r>
        <w:rPr>
          <w:rFonts w:ascii="仿宋_GB2312" w:hAnsi="仿宋_GB2312" w:cs="仿宋_GB2312" w:eastAsia="仿宋_GB2312"/>
        </w:rPr>
        <w:t>详见附件：供应商参与政府采购活动的承诺函.docx</w:t>
      </w:r>
    </w:p>
    <w:p>
      <w:pPr>
        <w:pStyle w:val="null3"/>
        <w:ind w:firstLine="960"/>
      </w:pPr>
      <w:r>
        <w:rPr>
          <w:rFonts w:ascii="仿宋_GB2312" w:hAnsi="仿宋_GB2312" w:cs="仿宋_GB2312" w:eastAsia="仿宋_GB2312"/>
        </w:rPr>
        <w:t>详见附件：供应商认为有必要补充说明的事宜.docx</w:t>
      </w:r>
    </w:p>
    <w:p>
      <w:pPr>
        <w:pStyle w:val="null3"/>
        <w:ind w:firstLine="960"/>
      </w:pPr>
      <w:r>
        <w:rPr>
          <w:rFonts w:ascii="仿宋_GB2312" w:hAnsi="仿宋_GB2312" w:cs="仿宋_GB2312" w:eastAsia="仿宋_GB2312"/>
        </w:rPr>
        <w:t>详见附件：技术规格响应偏离表.docx</w:t>
      </w:r>
    </w:p>
    <w:p>
      <w:pPr>
        <w:pStyle w:val="null3"/>
        <w:ind w:firstLine="960"/>
      </w:pPr>
      <w:r>
        <w:rPr>
          <w:rFonts w:ascii="仿宋_GB2312" w:hAnsi="仿宋_GB2312" w:cs="仿宋_GB2312" w:eastAsia="仿宋_GB2312"/>
        </w:rPr>
        <w:t>详见附件：拒绝政府采购领域商业贿赂承诺书.docx</w:t>
      </w:r>
    </w:p>
    <w:p>
      <w:pPr>
        <w:pStyle w:val="null3"/>
        <w:ind w:firstLine="960"/>
      </w:pPr>
      <w:r>
        <w:rPr>
          <w:rFonts w:ascii="仿宋_GB2312" w:hAnsi="仿宋_GB2312" w:cs="仿宋_GB2312" w:eastAsia="仿宋_GB2312"/>
        </w:rPr>
        <w:t>详见附件：商务条款响应偏离表.docx</w:t>
      </w:r>
    </w:p>
    <w:p>
      <w:pPr>
        <w:pStyle w:val="null3"/>
        <w:ind w:firstLine="960"/>
      </w:pPr>
      <w:r>
        <w:rPr>
          <w:rFonts w:ascii="仿宋_GB2312" w:hAnsi="仿宋_GB2312" w:cs="仿宋_GB2312" w:eastAsia="仿宋_GB2312"/>
        </w:rPr>
        <w:t>详见附件：授权委托书.docx</w:t>
      </w:r>
    </w:p>
    <w:p>
      <w:pPr>
        <w:pStyle w:val="null3"/>
        <w:ind w:firstLine="960"/>
      </w:pPr>
      <w:r>
        <w:rPr>
          <w:rFonts w:ascii="仿宋_GB2312" w:hAnsi="仿宋_GB2312" w:cs="仿宋_GB2312" w:eastAsia="仿宋_GB2312"/>
        </w:rPr>
        <w:t>详见附件：项目实施方案.docx</w:t>
      </w:r>
    </w:p>
    <w:p>
      <w:pPr>
        <w:pStyle w:val="null3"/>
        <w:ind w:firstLine="960"/>
      </w:pPr>
      <w:r>
        <w:rPr>
          <w:rFonts w:ascii="仿宋_GB2312" w:hAnsi="仿宋_GB2312" w:cs="仿宋_GB2312" w:eastAsia="仿宋_GB2312"/>
        </w:rPr>
        <w:t>详见附件：产品的合法渠道证明文件.docx</w:t>
      </w:r>
    </w:p>
    <w:p>
      <w:pPr>
        <w:pStyle w:val="null3"/>
        <w:ind w:firstLine="960"/>
      </w:pPr>
      <w:r>
        <w:rPr>
          <w:rFonts w:ascii="仿宋_GB2312" w:hAnsi="仿宋_GB2312" w:cs="仿宋_GB2312" w:eastAsia="仿宋_GB2312"/>
        </w:rPr>
        <w:t>详见附件：资格证明文件.docx</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详见附件：被授权人承诺书.docx</w:t>
      </w:r>
    </w:p>
    <w:p>
      <w:pPr>
        <w:pStyle w:val="null3"/>
        <w:ind w:firstLine="960"/>
      </w:pPr>
      <w:r>
        <w:rPr>
          <w:rFonts w:ascii="仿宋_GB2312" w:hAnsi="仿宋_GB2312" w:cs="仿宋_GB2312" w:eastAsia="仿宋_GB2312"/>
        </w:rPr>
        <w:t>详见附件：分项报价.docx</w:t>
      </w:r>
    </w:p>
    <w:p>
      <w:pPr>
        <w:pStyle w:val="null3"/>
        <w:ind w:firstLine="960"/>
      </w:pPr>
      <w:r>
        <w:rPr>
          <w:rFonts w:ascii="仿宋_GB2312" w:hAnsi="仿宋_GB2312" w:cs="仿宋_GB2312" w:eastAsia="仿宋_GB2312"/>
        </w:rPr>
        <w:t>详见附件：供应商参与政府采购活动的承诺函.docx</w:t>
      </w:r>
    </w:p>
    <w:p>
      <w:pPr>
        <w:pStyle w:val="null3"/>
        <w:ind w:firstLine="960"/>
      </w:pPr>
      <w:r>
        <w:rPr>
          <w:rFonts w:ascii="仿宋_GB2312" w:hAnsi="仿宋_GB2312" w:cs="仿宋_GB2312" w:eastAsia="仿宋_GB2312"/>
        </w:rPr>
        <w:t>详见附件：供应商认为有必要补充说明的事宜.docx</w:t>
      </w:r>
    </w:p>
    <w:p>
      <w:pPr>
        <w:pStyle w:val="null3"/>
        <w:ind w:firstLine="960"/>
      </w:pPr>
      <w:r>
        <w:rPr>
          <w:rFonts w:ascii="仿宋_GB2312" w:hAnsi="仿宋_GB2312" w:cs="仿宋_GB2312" w:eastAsia="仿宋_GB2312"/>
        </w:rPr>
        <w:t>详见附件：技术规格响应偏离表.docx</w:t>
      </w:r>
    </w:p>
    <w:p>
      <w:pPr>
        <w:pStyle w:val="null3"/>
        <w:ind w:firstLine="960"/>
      </w:pPr>
      <w:r>
        <w:rPr>
          <w:rFonts w:ascii="仿宋_GB2312" w:hAnsi="仿宋_GB2312" w:cs="仿宋_GB2312" w:eastAsia="仿宋_GB2312"/>
        </w:rPr>
        <w:t>详见附件：拒绝政府采购领域商业贿赂承诺书.docx</w:t>
      </w:r>
    </w:p>
    <w:p>
      <w:pPr>
        <w:pStyle w:val="null3"/>
        <w:ind w:firstLine="960"/>
      </w:pPr>
      <w:r>
        <w:rPr>
          <w:rFonts w:ascii="仿宋_GB2312" w:hAnsi="仿宋_GB2312" w:cs="仿宋_GB2312" w:eastAsia="仿宋_GB2312"/>
        </w:rPr>
        <w:t>详见附件：商务条款响应偏离表.docx</w:t>
      </w:r>
    </w:p>
    <w:p>
      <w:pPr>
        <w:pStyle w:val="null3"/>
        <w:ind w:firstLine="960"/>
      </w:pPr>
      <w:r>
        <w:rPr>
          <w:rFonts w:ascii="仿宋_GB2312" w:hAnsi="仿宋_GB2312" w:cs="仿宋_GB2312" w:eastAsia="仿宋_GB2312"/>
        </w:rPr>
        <w:t>详见附件：授权委托书.docx</w:t>
      </w:r>
    </w:p>
    <w:p>
      <w:pPr>
        <w:pStyle w:val="null3"/>
        <w:ind w:firstLine="960"/>
      </w:pPr>
      <w:r>
        <w:rPr>
          <w:rFonts w:ascii="仿宋_GB2312" w:hAnsi="仿宋_GB2312" w:cs="仿宋_GB2312" w:eastAsia="仿宋_GB2312"/>
        </w:rPr>
        <w:t>详见附件：项目实施方案.docx</w:t>
      </w:r>
    </w:p>
    <w:p>
      <w:pPr>
        <w:pStyle w:val="null3"/>
        <w:ind w:firstLine="960"/>
      </w:pPr>
      <w:r>
        <w:rPr>
          <w:rFonts w:ascii="仿宋_GB2312" w:hAnsi="仿宋_GB2312" w:cs="仿宋_GB2312" w:eastAsia="仿宋_GB2312"/>
        </w:rPr>
        <w:t>详见附件：产品的合法渠道证明文件.docx</w:t>
      </w:r>
    </w:p>
    <w:p>
      <w:pPr>
        <w:pStyle w:val="null3"/>
        <w:ind w:firstLine="960"/>
      </w:pPr>
      <w:r>
        <w:rPr>
          <w:rFonts w:ascii="仿宋_GB2312" w:hAnsi="仿宋_GB2312" w:cs="仿宋_GB2312" w:eastAsia="仿宋_GB2312"/>
        </w:rPr>
        <w:t>详见附件：资格证明文件.docx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详见附件：合同模板.docx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