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版本号：DHY-2026-011920260119001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2026年春节氛围营造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DHY-2026-0119</w:t>
      </w:r>
      <w:r>
        <w:br/>
      </w:r>
      <w:r>
        <w:br/>
      </w:r>
      <w:r>
        <w:br/>
      </w:r>
    </w:p>
    <w:p>
      <w:pPr>
        <w:pStyle w:val="null3"/>
        <w:jc w:val="center"/>
        <w:outlineLvl w:val="2"/>
      </w:pPr>
      <w:r>
        <w:rPr>
          <w:rFonts w:ascii="仿宋_GB2312" w:hAnsi="仿宋_GB2312" w:cs="仿宋_GB2312" w:eastAsia="仿宋_GB2312"/>
          <w:sz w:val="28"/>
          <w:b/>
        </w:rPr>
        <w:t>西安市蓝田县城市管理和综合执法局局（本级）</w:t>
      </w:r>
    </w:p>
    <w:p>
      <w:pPr>
        <w:pStyle w:val="null3"/>
        <w:jc w:val="center"/>
        <w:outlineLvl w:val="2"/>
      </w:pPr>
      <w:r>
        <w:rPr>
          <w:rFonts w:ascii="仿宋_GB2312" w:hAnsi="仿宋_GB2312" w:cs="仿宋_GB2312" w:eastAsia="仿宋_GB2312"/>
          <w:sz w:val="28"/>
          <w:b/>
        </w:rPr>
        <w:t>陕西鼎慧源工程项目管理有限公司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陕西鼎慧源工程项目管理有限公司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西安市蓝田县城市管理和综合执法局局（本级）</w:t>
      </w:r>
      <w:r>
        <w:rPr>
          <w:rFonts w:ascii="仿宋_GB2312" w:hAnsi="仿宋_GB2312" w:cs="仿宋_GB2312" w:eastAsia="仿宋_GB2312"/>
        </w:rPr>
        <w:t>委托，拟对</w:t>
      </w:r>
      <w:r>
        <w:rPr>
          <w:rFonts w:ascii="仿宋_GB2312" w:hAnsi="仿宋_GB2312" w:cs="仿宋_GB2312" w:eastAsia="仿宋_GB2312"/>
        </w:rPr>
        <w:t>2026年春节氛围营造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DHY-2026-0119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2026年春节氛围营造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2026年春节氛围营造，实施内容为蓝田县街道安装装饰灯。主要包括：管、线敷设，灯具基础制作安装，灯具安装，试亮灯及效果调试；灯具拆除。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采购包1（2026年春节氛围营造）：属于专门面向中小企业采购。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1、营业执照：供应商具有独立承担民事责任能力的法人、其他组织或自然人，并出具合法有效的营业执照；</w:t>
      </w:r>
    </w:p>
    <w:p>
      <w:pPr>
        <w:pStyle w:val="null3"/>
      </w:pPr>
      <w:r>
        <w:rPr>
          <w:rFonts w:ascii="仿宋_GB2312" w:hAnsi="仿宋_GB2312" w:cs="仿宋_GB2312" w:eastAsia="仿宋_GB2312"/>
        </w:rPr>
        <w:t>2、法定代表人身份证明或法定代表人授权书：法定代表人参加磋商提供法定代表人身份证明（附法定代表人身份证复印件），委托代理人参加磋商提供法定代表人授权委托书（附法定代表人、委托代理人身份证复印件）；</w:t>
      </w:r>
    </w:p>
    <w:p>
      <w:pPr>
        <w:pStyle w:val="null3"/>
      </w:pPr>
      <w:r>
        <w:rPr>
          <w:rFonts w:ascii="仿宋_GB2312" w:hAnsi="仿宋_GB2312" w:cs="仿宋_GB2312" w:eastAsia="仿宋_GB2312"/>
        </w:rPr>
        <w:t>3、资质要求：供应商须具备建设行政主管部门颁发的城市及道路照明工程专业承包三级以上（含三级）或市政公用工程施工总承包三级以上（含三级）资质，有相应的城市及道路照明工程或市政工程施工能力和施工经验，具有有效的安全生产许可证；</w:t>
      </w:r>
    </w:p>
    <w:p>
      <w:pPr>
        <w:pStyle w:val="null3"/>
      </w:pPr>
      <w:r>
        <w:rPr>
          <w:rFonts w:ascii="仿宋_GB2312" w:hAnsi="仿宋_GB2312" w:cs="仿宋_GB2312" w:eastAsia="仿宋_GB2312"/>
        </w:rPr>
        <w:t>4、拟派项目负责人资质和专业要求。：证书等级：注册建造师二级（含二级）以上资格和安全生产考核合格B证 专业：机电工程或市政公用工程；</w:t>
      </w:r>
    </w:p>
    <w:p>
      <w:pPr>
        <w:pStyle w:val="null3"/>
      </w:pPr>
      <w:r>
        <w:rPr>
          <w:rFonts w:ascii="仿宋_GB2312" w:hAnsi="仿宋_GB2312" w:cs="仿宋_GB2312" w:eastAsia="仿宋_GB2312"/>
        </w:rPr>
        <w:t>5、完税证明：提供磋商截止日前近一年内任意一个月的纳税证明或完税证明（任意税种），依法免税的单位应提供相关证明材料；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6、社保缴纳证明：提供磋商截止日前近一年内任意一个月的社会保障资金缴存单据或社保机构开具的社会保险参保缴费情况证明，依法不需要缴纳社会保障资金的单位应提供相关证明材料；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8、中小企业声明函：本项目为专门面向中小企业采购项目，须根据《政府采购促进中小企业发展管理办法》（财库（2020）46号）的规定提供《中小企业声明函》；</w:t>
      </w:r>
    </w:p>
    <w:p>
      <w:pPr>
        <w:pStyle w:val="null3"/>
      </w:pPr>
      <w:r>
        <w:rPr>
          <w:rFonts w:ascii="仿宋_GB2312" w:hAnsi="仿宋_GB2312" w:cs="仿宋_GB2312" w:eastAsia="仿宋_GB2312"/>
        </w:rPr>
        <w:t>9、信用记录：供应商基本信息及项目经理基本信息应在“陕西建设网（http://js.shaanxi.gov.cn/ ）陕西省建筑市场监管与诚信信息发布平台”可查询；供应商不得为“中国执行信息公开网（zxgk.court.gov.cn）”被列入失信被执行人名单，不得为“信用中国（www.creditchina.gov.cn）”重大税收违法失信主体当事人名单，不得为“中国政府采购网（www.ccgp.gov.cn）”被列入政府采购严重违法失信行为记录名单（提供加盖公章的网页截图）；</w:t>
      </w:r>
    </w:p>
    <w:p>
      <w:pPr>
        <w:pStyle w:val="null3"/>
      </w:pPr>
      <w:r>
        <w:rPr>
          <w:rFonts w:ascii="仿宋_GB2312" w:hAnsi="仿宋_GB2312" w:cs="仿宋_GB2312" w:eastAsia="仿宋_GB2312"/>
        </w:rPr>
        <w:t>10、其他：本项目不接受联合体磋商，单位负责人为同一人或者存在直接控股、管理关系的不同供应商，不得参加同一合同项下的政府采购活动，提供非联合体响应书面声明函。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西安市蓝田县城市管理和综合执法局局（本级）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蓝田县体育路50号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029-82752276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陕西鼎慧源工程项目管理有限公司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陕西省西安市未央区北二环太华北路立交东北角百寰国际27层2708室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029-86636985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参照国家计委颁发的《招标代理服务收费管理暂行办法》（计价格[2002]1980号）和国家发展改革委员会办公厅颁发的《关于招标代理服务收费有关问题的通知》（发改办价格[2003]857号）的有关规定执行。由中标单位在领取中标通知书时一次性向招标代理机构支付。 户 名：陕西鼎慧源工程项目管理有限公司 开户银行：长安银行股份有限公司西安北门支行 账 号：806990301421003644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西安市蓝田县城市管理和综合执法局局（本级）</w:t>
      </w:r>
      <w:r>
        <w:rPr>
          <w:rFonts w:ascii="仿宋_GB2312" w:hAnsi="仿宋_GB2312" w:cs="仿宋_GB2312" w:eastAsia="仿宋_GB2312"/>
        </w:rPr>
        <w:t>和</w:t>
      </w:r>
      <w:r>
        <w:rPr>
          <w:rFonts w:ascii="仿宋_GB2312" w:hAnsi="仿宋_GB2312" w:cs="仿宋_GB2312" w:eastAsia="仿宋_GB2312"/>
        </w:rPr>
        <w:t>陕西鼎慧源工程项目管理有限公司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西安市蓝田县城市管理和综合执法局局（本级）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陕西鼎慧源工程项目管理有限公司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西安市蓝田县城市管理和综合执法局局（本级）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陕西鼎慧源工程项目管理有限公司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陕西鼎慧源工程项目管理有限公司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联系电话：029-86636985</w:t>
      </w:r>
    </w:p>
    <w:p>
      <w:pPr>
        <w:pStyle w:val="null3"/>
      </w:pPr>
      <w:r>
        <w:rPr>
          <w:rFonts w:ascii="仿宋_GB2312" w:hAnsi="仿宋_GB2312" w:cs="仿宋_GB2312" w:eastAsia="仿宋_GB2312"/>
        </w:rPr>
        <w:t>地址：陕西省西安市未央区太华北路北二环立交桥东北角百寰国际27层2708室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1,398,198.91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2026春节氛围营造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标的名称：2026春节氛围营造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1、项目名称：2026年春节氛围营造</w:t>
            </w:r>
          </w:p>
          <w:p>
            <w:pPr>
              <w:pStyle w:val="null3"/>
            </w:pPr>
            <w:r>
              <w:rPr>
                <w:rFonts w:ascii="仿宋_GB2312" w:hAnsi="仿宋_GB2312" w:cs="仿宋_GB2312" w:eastAsia="仿宋_GB2312"/>
              </w:rPr>
              <w:t>2、工程内容：2026年春节氛围营造，实施内容为蓝田县街道安装装饰灯。主要包括：管、线敷设，灯具基础制作安装，灯具安装，试亮灯及效果调试；灯具拆除</w:t>
            </w:r>
            <w:r>
              <w:rPr>
                <w:rFonts w:ascii="仿宋_GB2312" w:hAnsi="仿宋_GB2312" w:cs="仿宋_GB2312" w:eastAsia="仿宋_GB2312"/>
                <w:sz w:val="24"/>
              </w:rPr>
              <w:t>。</w:t>
            </w:r>
          </w:p>
          <w:p>
            <w:pPr>
              <w:pStyle w:val="null3"/>
            </w:pPr>
            <w:r>
              <w:rPr>
                <w:rFonts w:ascii="仿宋_GB2312" w:hAnsi="仿宋_GB2312" w:cs="仿宋_GB2312" w:eastAsia="仿宋_GB2312"/>
              </w:rPr>
              <w:t>3、施工范围：具体详见工程量清单及采购文件。</w:t>
            </w:r>
          </w:p>
          <w:p>
            <w:pPr>
              <w:pStyle w:val="null3"/>
            </w:pPr>
            <w:r>
              <w:rPr>
                <w:rFonts w:ascii="仿宋_GB2312" w:hAnsi="仿宋_GB2312" w:cs="仿宋_GB2312" w:eastAsia="仿宋_GB2312"/>
              </w:rPr>
              <w:t>4、工程地点：蓝田县迎宾路及建材街、文姬路、向阳路、蓝新路、县门街、蓝金路、蓝金路转盘、县门街延伸段、蓝水路、白鹿广场、天鹅湖广场、白鹿原高速路口、彩虹桥。</w:t>
            </w:r>
          </w:p>
          <w:p>
            <w:pPr>
              <w:pStyle w:val="null3"/>
            </w:pPr>
            <w:r>
              <w:rPr>
                <w:rFonts w:ascii="仿宋_GB2312" w:hAnsi="仿宋_GB2312" w:cs="仿宋_GB2312" w:eastAsia="仿宋_GB2312"/>
              </w:rPr>
              <w:t>5、计划工期：合同签订之日起10日历天，（工期仅指灯具安装及调试时间，灯具拆除时间根据甲方要求进行。质保期与亮化时间同步。）。</w:t>
            </w:r>
          </w:p>
          <w:p>
            <w:pPr>
              <w:pStyle w:val="null3"/>
            </w:pPr>
            <w:r>
              <w:rPr>
                <w:rFonts w:ascii="仿宋_GB2312" w:hAnsi="仿宋_GB2312" w:cs="仿宋_GB2312" w:eastAsia="仿宋_GB2312"/>
              </w:rPr>
              <w:t>6、质量标准：工程质量符合国家现行有关施工质量验收规范要求“合格”标准。</w:t>
            </w:r>
          </w:p>
          <w:p>
            <w:pPr>
              <w:pStyle w:val="null3"/>
            </w:pPr>
            <w:r>
              <w:rPr>
                <w:rFonts w:ascii="仿宋_GB2312" w:hAnsi="仿宋_GB2312" w:cs="仿宋_GB2312" w:eastAsia="仿宋_GB2312"/>
              </w:rPr>
              <w:t>7、付款方式：合同签订之后，工程按工程进度付款，竣工验收合格后达到付款条件起 60 日内付至合同金额的85%，审计结束后达到付款条件起 60 日内付至审计审定金额的100% 。</w:t>
            </w:r>
          </w:p>
          <w:p>
            <w:pPr>
              <w:pStyle w:val="null3"/>
            </w:pPr>
            <w:r>
              <w:rPr>
                <w:rFonts w:ascii="仿宋_GB2312" w:hAnsi="仿宋_GB2312" w:cs="仿宋_GB2312" w:eastAsia="仿宋_GB2312"/>
              </w:rPr>
              <w:t>二、工程量清单（另附）工程量清单编制说明</w:t>
            </w:r>
          </w:p>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1、工程名称：2026年春节氛围营造</w:t>
            </w:r>
          </w:p>
          <w:p>
            <w:pPr>
              <w:pStyle w:val="null3"/>
            </w:pPr>
            <w:r>
              <w:rPr>
                <w:rFonts w:ascii="仿宋_GB2312" w:hAnsi="仿宋_GB2312" w:cs="仿宋_GB2312" w:eastAsia="仿宋_GB2312"/>
              </w:rPr>
              <w:t>（二）、编制依据：</w:t>
            </w:r>
          </w:p>
          <w:p>
            <w:pPr>
              <w:pStyle w:val="null3"/>
            </w:pPr>
            <w:r>
              <w:rPr>
                <w:rFonts w:ascii="仿宋_GB2312" w:hAnsi="仿宋_GB2312" w:cs="仿宋_GB2312" w:eastAsia="仿宋_GB2312"/>
              </w:rPr>
              <w:t>1、依据《陕西省建设工程工程量清单计价计算标准》（2025）。</w:t>
            </w:r>
          </w:p>
          <w:p>
            <w:pPr>
              <w:pStyle w:val="null3"/>
            </w:pPr>
            <w:r>
              <w:rPr>
                <w:rFonts w:ascii="仿宋_GB2312" w:hAnsi="仿宋_GB2312" w:cs="仿宋_GB2312" w:eastAsia="仿宋_GB2312"/>
              </w:rPr>
              <w:t>2、与建设工程项目有关的标准、规范、图集、技术资料。</w:t>
            </w:r>
          </w:p>
          <w:p>
            <w:pPr>
              <w:pStyle w:val="null3"/>
            </w:pPr>
            <w:r>
              <w:rPr>
                <w:rFonts w:ascii="仿宋_GB2312" w:hAnsi="仿宋_GB2312" w:cs="仿宋_GB2312" w:eastAsia="仿宋_GB2312"/>
              </w:rPr>
              <w:t>3、本工程采用广联达云计价平台GCCP7.0（7.5000.23.2版本）编制。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2、落实的政府采购政策：（1）《政府采购促进中小企业发展管理办法》（财库〔2020〕46号）；（2）《关于进一步加大政府采购支持中小企业力度的通知》（财库〔2022〕19号）；（3）《财政部 司法部关于政府采购支持监狱企业发展有关问题的通知》（财库〔2014〕68号）；（4）《国务院办公厅关于建立政府强制采购节能产品制度的通知》（国办发〔2007〕51号）；（5）《财政部 民政部 中国残疾人联合会关于促进残疾人就业政府采购政策的通知》（财库〔2017〕141号）；（6）《财政部 发展改革委 生态环境部 市场监管总局关于调整优化节能产品、环境标志产品政府采购执行机制的通知》（财库〔2019〕9号）；（7）《关于印发环境标志产品政府采购品目清单的通知》（财库〔2019〕18号）；（8）《关于印发节能产品政府采购品目清单的通知》（财库〔2019〕19号）；（9）陕西省财政厅关于进一步加强政府绿色采购有关问题的通知--陕财办采〔2021〕29号；（10）《财政部 农业农村部 国家乡村振兴局关于运用政府采购政策支持乡村产业振兴的通知》财库〔2021〕19号；（11）《陕西省财政厅关于印发陕西省中小企业政府采购信用融资办法》（陕财办采〔2018〕23号）；（12）《陕西省财政厅关于加快推进我省中小企业政府采购信用融资工作的通知》（陕财办采〔2020〕15号）；（13）其他需要落实的政府采购政策（如有最新颁布的政府采购政策，按最新的文件执行）。 3、各供应商所有分项报价（与最后磋商报价比例一致）同比例下浮。 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②可提供2023年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法定代表人参加磋商提供法定代表人身份证明（附法定代表人身份证复印件），委托代理人参加磋商提供法定代表人授权委托书（附法定代表人、委托代理人身份证复印件）；</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报价函 磋商报价表.docx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城市及道路照明工程专业承包三级以上（含三级）或市政公用工程施工总承包三级以上（含三级）资质，有相应的城市及道路照明工程或市政工程施工能力和施工经验，具有有效的安全生产许可证；</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证书等级：注册建造师二级（含二级）以上资格和安全生产考核合格B证 专业：机电工程或市政公用工程；</w:t>
            </w:r>
          </w:p>
        </w:tc>
        <w:tc>
          <w:tcPr>
            <w:tcW w:type="dxa" w:w="1661"/>
          </w:tcPr>
          <w:p>
            <w:pPr>
              <w:pStyle w:val="null3"/>
            </w:pPr>
            <w:r>
              <w:rPr>
                <w:rFonts w:ascii="仿宋_GB2312" w:hAnsi="仿宋_GB2312" w:cs="仿宋_GB2312" w:eastAsia="仿宋_GB2312"/>
              </w:rPr>
              <w:t>供应商应提交的相关资格证明材料.docx 项目管理机构组成表 磋商报价表.docx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本项目为专门面向中小企业采购项目，须根据《政府采购促进中小企业发展管理办法》（财库（2020）46号）的规定提供《中小企业声明函》；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供应商不得为“中国执行信息公开网（zxgk.court.gov.cn）”被列入失信被执行人名单，不得为“信用中国（www.creditchina.gov.cn）”重大税收违法失信主体当事人名单，不得为“中国政府采购网（www.ccgp.gov.cn）”被列入政府采购严重违法失信行为记录名单（提供加盖公章的网页截图）；</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本项目不接受联合体磋商，单位负责人为同一人或者存在直接控股、管理关系的不同供应商，不得参加同一合同项下的政府采购活动，提供非联合体响应书面声明函。</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技术服务方案.docx 已标价工程量清单 技术服务合同条款及其他商务要求应答表 磋商报价表.docx 强制优先采购产品承诺函 响应文件封面 供应商应提交的相关资格证明材料.docx 项目管理机构组成表 报价函 标的清单 供应商类似项目业绩一览表 响应函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内容无重大缺漏项，报价唯一，且没有超过采购预算和最高限价</w:t>
            </w:r>
          </w:p>
        </w:tc>
        <w:tc>
          <w:tcPr>
            <w:tcW w:type="dxa" w:w="1661"/>
          </w:tcPr>
          <w:p>
            <w:pPr>
              <w:pStyle w:val="null3"/>
            </w:pPr>
            <w:r>
              <w:rPr>
                <w:rFonts w:ascii="仿宋_GB2312" w:hAnsi="仿宋_GB2312" w:cs="仿宋_GB2312" w:eastAsia="仿宋_GB2312"/>
              </w:rPr>
              <w:t>响应文件封面 已标价工程量清单 报价函 标的清单 磋商报价表.docx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工期、质保期、付款进度响应磋商文件要求</w:t>
            </w:r>
          </w:p>
        </w:tc>
        <w:tc>
          <w:tcPr>
            <w:tcW w:type="dxa" w:w="1661"/>
          </w:tcPr>
          <w:p>
            <w:pPr>
              <w:pStyle w:val="null3"/>
            </w:pPr>
            <w:r>
              <w:rPr>
                <w:rFonts w:ascii="仿宋_GB2312" w:hAnsi="仿宋_GB2312" w:cs="仿宋_GB2312" w:eastAsia="仿宋_GB2312"/>
              </w:rPr>
              <w:t>响应文件封面 技术服务方案.docx 报价函 标的清单 磋商报价表.docx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总体施工及供货方案</w:t>
            </w:r>
          </w:p>
        </w:tc>
        <w:tc>
          <w:tcPr>
            <w:tcW w:type="dxa" w:w="2492"/>
          </w:tcPr>
          <w:p>
            <w:pPr>
              <w:pStyle w:val="null3"/>
            </w:pPr>
            <w:r>
              <w:rPr>
                <w:rFonts w:ascii="仿宋_GB2312" w:hAnsi="仿宋_GB2312" w:cs="仿宋_GB2312" w:eastAsia="仿宋_GB2312"/>
              </w:rPr>
              <w:t>总体施工及供货方案至少包括①施工及供货准备；②施工方法及施工流程；③重点难点工程分析及解决措施；④影响正常施工外在因素分析及对应预案等。 评审标准：以上内容切合本项目实际情况及实施要求，内容与要点相符、每个要点均有展开详细的阐述且能够适用于本项目的计12分。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工程质量技术组织措施</w:t>
            </w:r>
          </w:p>
        </w:tc>
        <w:tc>
          <w:tcPr>
            <w:tcW w:type="dxa" w:w="2492"/>
          </w:tcPr>
          <w:p>
            <w:pPr>
              <w:pStyle w:val="null3"/>
            </w:pPr>
            <w:r>
              <w:rPr>
                <w:rFonts w:ascii="仿宋_GB2312" w:hAnsi="仿宋_GB2312" w:cs="仿宋_GB2312" w:eastAsia="仿宋_GB2312"/>
              </w:rPr>
              <w:t>确保工程质量的技术组织措施至少包括①质量控制目标及要点；②施工质量保证体系；③质量保证措施。 评审标准：以上内容切合本项目实际情况及实施要求，内容与要点相符、每个要点均有展开详细的阐述且能够适用于本项目的计6分。 评审内容任意一项缺项扣2分，扣完为止；评审内容任意一项有缺陷扣0.1-1.9分。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确保安全生产技术组织措施至少包括①安全生产目标；②安全生产管理制度；③安全生产技术组织措施。 评审标准：以上内容切合本项目实际情况及实施要求，内容与要点相符、每个要点均有展开详细的阐述且能够适用于本项目的计6分。评审内容任意一项缺项扣2分，扣完为止；评审内容任意一项有缺陷扣0.1-1.9分。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文明施工技术组织措施</w:t>
            </w:r>
          </w:p>
        </w:tc>
        <w:tc>
          <w:tcPr>
            <w:tcW w:type="dxa" w:w="2492"/>
          </w:tcPr>
          <w:p>
            <w:pPr>
              <w:pStyle w:val="null3"/>
            </w:pPr>
            <w:r>
              <w:rPr>
                <w:rFonts w:ascii="仿宋_GB2312" w:hAnsi="仿宋_GB2312" w:cs="仿宋_GB2312" w:eastAsia="仿宋_GB2312"/>
              </w:rPr>
              <w:t>确保文明施工的技术组织措施至少包括①文明施工方案；②文明施工技术保障。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环境保护组织措施</w:t>
            </w:r>
          </w:p>
        </w:tc>
        <w:tc>
          <w:tcPr>
            <w:tcW w:type="dxa" w:w="2492"/>
          </w:tcPr>
          <w:p>
            <w:pPr>
              <w:pStyle w:val="null3"/>
            </w:pPr>
            <w:r>
              <w:rPr>
                <w:rFonts w:ascii="仿宋_GB2312" w:hAnsi="仿宋_GB2312" w:cs="仿宋_GB2312" w:eastAsia="仿宋_GB2312"/>
              </w:rPr>
              <w:t>确保环境保护组织措施至少包括①环境保护管理要点；②环境保护保障方案。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工期技术组织措施</w:t>
            </w:r>
          </w:p>
        </w:tc>
        <w:tc>
          <w:tcPr>
            <w:tcW w:type="dxa" w:w="2492"/>
          </w:tcPr>
          <w:p>
            <w:pPr>
              <w:pStyle w:val="null3"/>
            </w:pPr>
            <w:r>
              <w:rPr>
                <w:rFonts w:ascii="仿宋_GB2312" w:hAnsi="仿宋_GB2312" w:cs="仿宋_GB2312" w:eastAsia="仿宋_GB2312"/>
              </w:rPr>
              <w:t>确保工期的技术组织措施至少包括①工期计划安排；②工期保障。 评审标准：以上内容切合本项目实际情况及实施要求，内容与要点相符、每个要点均有展开详细的阐述且能够适用于本项目的计6分。评审内容任意一项缺项扣3分，扣完为止；评审内容任意一项有缺陷扣0.1-2.9分。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项目部组成及劳动力安排计划</w:t>
            </w:r>
          </w:p>
        </w:tc>
        <w:tc>
          <w:tcPr>
            <w:tcW w:type="dxa" w:w="2492"/>
          </w:tcPr>
          <w:p>
            <w:pPr>
              <w:pStyle w:val="null3"/>
            </w:pPr>
            <w:r>
              <w:rPr>
                <w:rFonts w:ascii="仿宋_GB2312" w:hAnsi="仿宋_GB2312" w:cs="仿宋_GB2312" w:eastAsia="仿宋_GB2312"/>
              </w:rPr>
              <w:t>项目部组成及劳动力安排计划至少包括①项目部组成及劳动力安排；②人员职责分工。 评审标准：以上内容切合本项目实际情况及实施要求，内容与要点相符、每个要点均有展开详细的阐述且能够适用于本项目的计6分。 评审内容任意一项缺项扣3分，扣完为止；评审内容任意一项有缺陷扣0.1-2.9分。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施工机械配备和材料投入计划至少包括①机械和材料配备及进场安排；②机械和材料现场管理。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 评审标准：内容符合本项目实际情况及具体要求，适用于本项目的计3分。内容有缺陷扣0.1-2.9分。 备注：缺陷是指逻辑混乱、与项目特点不匹配、出现常识性错误、套用其他项目方案、存在不可能实现的夸大情形或存在不适用项目实际情况的情形。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应急措施和解决方案</w:t>
            </w:r>
          </w:p>
        </w:tc>
        <w:tc>
          <w:tcPr>
            <w:tcW w:type="dxa" w:w="2492"/>
          </w:tcPr>
          <w:p>
            <w:pPr>
              <w:pStyle w:val="null3"/>
            </w:pPr>
            <w:r>
              <w:rPr>
                <w:rFonts w:ascii="仿宋_GB2312" w:hAnsi="仿宋_GB2312" w:cs="仿宋_GB2312" w:eastAsia="仿宋_GB2312"/>
              </w:rPr>
              <w:t>突发事件的应急预案至少包括①应急措施；②解决方案。 评审标准：以上内容切合本项目实际情况及实施要求，内容与要点相符、每个要点均有展开详细的阐述且能够适用于本项目的计5分。评审内容任意一项缺项扣2.5分，扣完为止；评审内容任意一项有缺陷扣0.1-2.4分。 未提供或只有标题没有实质性内容的不得分。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供应商提供自2023年1月1日至磋商前类似工程项目业绩，提供一份得1分，此项共计5分。 （注：1、响应文件中提供复印件加盖供应商公章；2、业绩以合同签订时间为准）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后续服务措施承诺</w:t>
            </w:r>
          </w:p>
        </w:tc>
        <w:tc>
          <w:tcPr>
            <w:tcW w:type="dxa" w:w="2492"/>
          </w:tcPr>
          <w:p>
            <w:pPr>
              <w:pStyle w:val="null3"/>
            </w:pPr>
            <w:r>
              <w:rPr>
                <w:rFonts w:ascii="仿宋_GB2312" w:hAnsi="仿宋_GB2312" w:cs="仿宋_GB2312" w:eastAsia="仿宋_GB2312"/>
              </w:rPr>
              <w:t>供应商有详细的其他后续服务承诺措施（主要包含项目实施完后的拆除及处理措施）。 评审标准：内容切合本项目实际情况及实施要求，内容与要点相符、有详细的阐述且能够适用于本项目的计3分。内容有缺陷扣0.1-2.9分。 未提供或只有标题没有实质性内容的不得分。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对本工程有具体可行并符合国家相关保修规范的质量保修承诺。 评审标准：内容切合本项目实际情况及实施要求，内容与要点相符、有详细的阐述且能够适用于本项目的计3分。内容有缺陷扣0.1-2.9分。 未提供或只有标题没有实质性内容的不得分。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详见附件：2026年春节氛围营造施工合同!.docx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