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版本号：SDZC2026-01720260121001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2025年第一批市级财政农业农村发展专项资金（耕地安全利用及严格管控）项目(二次)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SDZC2026-017</w:t>
      </w:r>
      <w:r>
        <w:br/>
      </w:r>
      <w:r>
        <w:br/>
      </w:r>
      <w:r>
        <w:br/>
      </w:r>
    </w:p>
    <w:p>
      <w:pPr>
        <w:pStyle w:val="null3"/>
        <w:jc w:val="center"/>
        <w:outlineLvl w:val="2"/>
      </w:pPr>
      <w:r>
        <w:rPr>
          <w:rFonts w:ascii="仿宋_GB2312" w:hAnsi="仿宋_GB2312" w:cs="仿宋_GB2312" w:eastAsia="仿宋_GB2312"/>
          <w:sz w:val="28"/>
          <w:b/>
        </w:rPr>
        <w:t>西安市蓝田县农业技术推广中心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西安市蓝田县农业技术推广中心</w:t>
      </w:r>
      <w:r>
        <w:rPr>
          <w:rFonts w:ascii="仿宋_GB2312" w:hAnsi="仿宋_GB2312" w:cs="仿宋_GB2312" w:eastAsia="仿宋_GB2312"/>
        </w:rPr>
        <w:t>委托，拟对</w:t>
      </w:r>
      <w:r>
        <w:rPr>
          <w:rFonts w:ascii="仿宋_GB2312" w:hAnsi="仿宋_GB2312" w:cs="仿宋_GB2312" w:eastAsia="仿宋_GB2312"/>
        </w:rPr>
        <w:t>2025年第一批市级财政农业农村发展专项资金（耕地安全利用及严格管控）项目(二次)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SDZC2026-017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2025年第一批市级财政农业农村发展专项资金（耕地安全利用及严格管控）项目(二次)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通过对蓝田县中轻度污染耕地全部落实安全利用措施，完成2025年度受污染耕地安全利用工作。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3、税收缴纳证明：税收缴纳证明：提供2025年2月至今任意一个月的缴纳凭据（包含增值税、企业所得税至少一种）；（依法免税的供应商应提供相关文件证明）。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 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 定，此项由采购人在磋商响应截止日当天在“ 国家企业信用信息公示系统” 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蓝田县北环路18号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马晓锋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13679124515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原《国家计委关于印发&lt;招标代理服务收费管理暂行办法&gt;的通知》(计价格〔2002〕1980号)、《国家发展改革委关于降低部分建设项目收费标准规范收费行为等有关问题的通知》(发改价格〔2011〕534号)规定执行。 1.开户行名称：陕西上德招标有限公司 2.开 户 行：西安银行股份有限公司文景路支行 3.帐 号：7070 1151 0000 0135 22 4.西安银行文景路行号：313791000509 财务部联系方式： 029-86673953、029-86518381、029-89299829、029-89293231 转814或813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西安市蓝田县农业技术推广中心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符合相关国家标准，禁止使用重金属超标的投入品，不可对土壤、地下水、大气等周边环境造成二次污染。</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联系人：宋芳芳（4号工位）、王涛、魏蕾</w:t>
      </w:r>
    </w:p>
    <w:p>
      <w:pPr>
        <w:pStyle w:val="null3"/>
      </w:pPr>
      <w:r>
        <w:rPr>
          <w:rFonts w:ascii="仿宋_GB2312" w:hAnsi="仿宋_GB2312" w:cs="仿宋_GB2312" w:eastAsia="仿宋_GB2312"/>
        </w:rPr>
        <w:t>联系电话：029-86673953、86518381转804</w:t>
      </w:r>
    </w:p>
    <w:p>
      <w:pPr>
        <w:pStyle w:val="null3"/>
      </w:pPr>
      <w:r>
        <w:rPr>
          <w:rFonts w:ascii="仿宋_GB2312" w:hAnsi="仿宋_GB2312" w:cs="仿宋_GB2312" w:eastAsia="仿宋_GB2312"/>
        </w:rPr>
        <w:t>地址：西安市经开区凤城八路正尚国际金融广场A座7层703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通过对蓝田县中轻度污染耕地全部落实安全利用措施，完成2025年度受污染耕地安全利用工作。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595,000.00</w:t>
      </w:r>
    </w:p>
    <w:p>
      <w:pPr>
        <w:pStyle w:val="null3"/>
      </w:pPr>
      <w:r>
        <w:rPr>
          <w:rFonts w:ascii="仿宋_GB2312" w:hAnsi="仿宋_GB2312" w:cs="仿宋_GB2312" w:eastAsia="仿宋_GB2312"/>
        </w:rPr>
        <w:t>采购包最高限价（元）: 595,000.00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2025年第一批市级财政农业农村发展专项资金（耕地安全利用及严格管控）项目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标的名称：2025年第一批市级财政农业农村发展专项资金（耕地安全利用及严格管控）项目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pPr>
            <w:r>
              <w:rPr>
                <w:rFonts w:ascii="仿宋_GB2312" w:hAnsi="仿宋_GB2312" w:cs="仿宋_GB2312" w:eastAsia="仿宋_GB2312"/>
              </w:rPr>
              <w:t>一、项目实施范围和面积</w:t>
            </w:r>
          </w:p>
          <w:p>
            <w:pPr>
              <w:pStyle w:val="null3"/>
            </w:pPr>
            <w:r>
              <w:rPr>
                <w:rFonts w:ascii="仿宋_GB2312" w:hAnsi="仿宋_GB2312" w:cs="仿宋_GB2312" w:eastAsia="仿宋_GB2312"/>
              </w:rPr>
              <w:t>项目实施范围为蓝田县蓝关街办、三里镇和灞源镇等3个镇，轻中度污染耕地面积1190.56亩，目标污染因子主要为镉、铅元素。</w:t>
            </w:r>
          </w:p>
          <w:p>
            <w:pPr>
              <w:pStyle w:val="null3"/>
            </w:pPr>
            <w:r>
              <w:rPr>
                <w:rFonts w:ascii="仿宋_GB2312" w:hAnsi="仿宋_GB2312" w:cs="仿宋_GB2312" w:eastAsia="仿宋_GB2312"/>
              </w:rPr>
              <w:t>二、项目实施目标</w:t>
            </w:r>
          </w:p>
          <w:p>
            <w:pPr>
              <w:pStyle w:val="null3"/>
            </w:pPr>
            <w:r>
              <w:rPr>
                <w:rFonts w:ascii="仿宋_GB2312" w:hAnsi="仿宋_GB2312" w:cs="仿宋_GB2312" w:eastAsia="仿宋_GB2312"/>
              </w:rPr>
              <w:t>项目实施目标：通过对蓝田县中轻度污染耕地全部落实安全利用措施，完成2025年度受污染耕地安全利用工作。</w:t>
            </w:r>
          </w:p>
          <w:p>
            <w:pPr>
              <w:pStyle w:val="null3"/>
            </w:pPr>
            <w:r>
              <w:rPr>
                <w:rFonts w:ascii="仿宋_GB2312" w:hAnsi="仿宋_GB2312" w:cs="仿宋_GB2312" w:eastAsia="仿宋_GB2312"/>
              </w:rPr>
              <w:t>具体目标：</w:t>
            </w:r>
          </w:p>
          <w:p>
            <w:pPr>
              <w:pStyle w:val="null3"/>
            </w:pPr>
            <w:r>
              <w:rPr>
                <w:rFonts w:ascii="仿宋_GB2312" w:hAnsi="仿宋_GB2312" w:cs="仿宋_GB2312" w:eastAsia="仿宋_GB2312"/>
              </w:rPr>
              <w:t>1、全县1190.56亩中轻度受污染耕地全部落实安全利用技术措施。根据受污染耕地实际编制安全利用工作技术方案，应用农艺调控、土壤改良、生物修复、无人机喷施叶面阻控剂等安全利用技术措施，使耕地土壤质量达到相关政策要求，受污染耕地安全利用率达到93%以上。</w:t>
            </w:r>
          </w:p>
          <w:p>
            <w:pPr>
              <w:pStyle w:val="null3"/>
            </w:pPr>
            <w:r>
              <w:rPr>
                <w:rFonts w:ascii="仿宋_GB2312" w:hAnsi="仿宋_GB2312" w:cs="仿宋_GB2312" w:eastAsia="仿宋_GB2312"/>
              </w:rPr>
              <w:t>2、建设技术试验点1个，开展安全利用类耕地低积累品种筛选对比试验研究、综合技术模式的研究，探索筛选适合本区域受污染耕地安全利用的主推技术模式及低积累品种名录各1套。</w:t>
            </w:r>
          </w:p>
          <w:p>
            <w:pPr>
              <w:pStyle w:val="null3"/>
            </w:pPr>
            <w:r>
              <w:rPr>
                <w:rFonts w:ascii="仿宋_GB2312" w:hAnsi="仿宋_GB2312" w:cs="仿宋_GB2312" w:eastAsia="仿宋_GB2312"/>
              </w:rPr>
              <w:t>3、实现全县安全利用类耕地内食用农产品可食部位中目标污染物含量符合《食品安全国家标准 食品中污染物限量》GB2762-2022。</w:t>
            </w:r>
          </w:p>
          <w:p>
            <w:pPr>
              <w:pStyle w:val="null3"/>
            </w:pPr>
            <w:r>
              <w:rPr>
                <w:rFonts w:ascii="仿宋_GB2312" w:hAnsi="仿宋_GB2312" w:cs="仿宋_GB2312" w:eastAsia="仿宋_GB2312"/>
              </w:rPr>
              <w:t>4、安全利用类耕地内农作物产量减产率低于10%。</w:t>
            </w:r>
          </w:p>
          <w:p>
            <w:pPr>
              <w:pStyle w:val="null3"/>
            </w:pPr>
            <w:r>
              <w:rPr>
                <w:rFonts w:ascii="仿宋_GB2312" w:hAnsi="仿宋_GB2312" w:cs="仿宋_GB2312" w:eastAsia="仿宋_GB2312"/>
              </w:rPr>
              <w:t>三、项目技术要求</w:t>
            </w:r>
          </w:p>
          <w:p>
            <w:pPr>
              <w:pStyle w:val="null3"/>
            </w:pPr>
            <w:r>
              <w:rPr>
                <w:rFonts w:ascii="仿宋_GB2312" w:hAnsi="仿宋_GB2312" w:cs="仿宋_GB2312" w:eastAsia="仿宋_GB2312"/>
              </w:rPr>
              <w:t>根据《蓝田县2024年受污染耕地安全利用及严格管控工作方案》要求，项目工期为1年。受污染耕地安全利用技术措施应综合考虑蓝田县耕地受污染程度和主要种植作物类型，所选用技术措施应符合农业农村部《轻中度污染耕地安全利用与治理修复推荐技术名录》，同时在受污染耕地治理和修复过程中所使用的肥料、土壤调理剂、阻控剂、钝化剂等耕地投入品，须符合相关国家标准，禁止使用重金属超标的投入品，不可对土壤、地下水、大气等周边环境造成二次污染。</w:t>
            </w:r>
          </w:p>
          <w:p>
            <w:pPr>
              <w:pStyle w:val="null3"/>
            </w:pPr>
            <w:r>
              <w:rPr>
                <w:rFonts w:ascii="仿宋_GB2312" w:hAnsi="仿宋_GB2312" w:cs="仿宋_GB2312" w:eastAsia="仿宋_GB2312"/>
              </w:rPr>
              <w:t>注：以上所有条款为重要条款，供应商必须完全响应,否则作无效投标处理。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项目服务期为1年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项目实施范围为蓝田县蓝关街办、三里镇和灞源镇等3个镇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1、实现全县安全利用类耕地内食用农产品可食部位中目标污染物含量符合《食品安全国家标准 食品中污染物限量》GB2762-2022。 2、根据受污染耕地实际编制安全利用工作技术方案，应用农艺调控、土壤改良、生物修复、无人机喷施叶面阻控剂等安全利用技术措施，使耕地土壤质量达到相关政策要求，受污染耕地安全利用率达到93%以上； 3、安全利用类耕地内农作物产量减产率低于10%。</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领取成交通知书时，提供一正两副纸质版磋商响应文件。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税收缴纳证明：提供2025年2月至今任意一个月的缴纳凭据（包含增值税、企业所得税至少一种）；（依法免税的供应商应提供相关文件证明）。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 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被授权人承诺书.docx 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 定，此项由采购人在磋商响应截止日当天在“ 国家企业信用信息公示系统” 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被授权人承诺书.docx 中小企业声明函 分项报价.docx 商务条款响应偏离表.docx 服务条款响应偏离表.docx 法定代表人授权书.docx 响应文件封面 《拒绝政府采购领域商业贿赂承诺书》.docx 残疾人福利性单位声明函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对磋商文件商务要求、技术要求作出明确响应</w:t>
            </w:r>
          </w:p>
        </w:tc>
        <w:tc>
          <w:tcPr>
            <w:tcW w:type="dxa" w:w="3322"/>
          </w:tcPr>
          <w:p>
            <w:pPr>
              <w:pStyle w:val="null3"/>
            </w:pPr>
            <w:r>
              <w:rPr>
                <w:rFonts w:ascii="仿宋_GB2312" w:hAnsi="仿宋_GB2312" w:cs="仿宋_GB2312" w:eastAsia="仿宋_GB2312"/>
              </w:rPr>
              <w:t>对磋商文件商务要求作出明确响应；对磋商文件技术要求作出明确响应，对不得偏离的要求作了实质性响应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磋商响应文件未有采购人不能接受的附加条件</w:t>
            </w:r>
          </w:p>
        </w:tc>
        <w:tc>
          <w:tcPr>
            <w:tcW w:type="dxa" w:w="3322"/>
          </w:tcPr>
          <w:p>
            <w:pPr>
              <w:pStyle w:val="null3"/>
            </w:pPr>
            <w:r>
              <w:rPr>
                <w:rFonts w:ascii="仿宋_GB2312" w:hAnsi="仿宋_GB2312" w:cs="仿宋_GB2312" w:eastAsia="仿宋_GB2312"/>
              </w:rPr>
              <w:t>磋商响应文件未有采购人不能接受的附加条件</w:t>
            </w:r>
          </w:p>
        </w:tc>
        <w:tc>
          <w:tcPr>
            <w:tcW w:type="dxa" w:w="1661"/>
          </w:tcPr>
          <w:p>
            <w:pPr>
              <w:pStyle w:val="null3"/>
            </w:pPr>
            <w:r>
              <w:rPr>
                <w:rFonts w:ascii="仿宋_GB2312" w:hAnsi="仿宋_GB2312" w:cs="仿宋_GB2312" w:eastAsia="仿宋_GB2312"/>
              </w:rPr>
              <w:t>整体服务方案.docx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整体服务方案.docx 供应商认为有必要补充说明的事宜.docx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评审得分相同的，按照最后报价由低到高的顺序推荐。评审得分且最后报价相同的，则依次比较整体服务方案得分，拟派项目组人员得分，以得分高的排序在先。</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整体服务方案1</w:t>
            </w:r>
          </w:p>
        </w:tc>
        <w:tc>
          <w:tcPr>
            <w:tcW w:type="dxa" w:w="2492"/>
          </w:tcPr>
          <w:p>
            <w:pPr>
              <w:pStyle w:val="null3"/>
            </w:pPr>
            <w:r>
              <w:rPr>
                <w:rFonts w:ascii="仿宋_GB2312" w:hAnsi="仿宋_GB2312" w:cs="仿宋_GB2312" w:eastAsia="仿宋_GB2312"/>
              </w:rPr>
              <w:t>整体服务方案包括但不限于：①对项目的整体理解；②需要达到的目标；③项目总体方案；④实施方案；⑤工作流程；⑥成果验收与资料归档等。 评审标准：方案各项内容全面详细、阐述条理清晰、具有针对性、合理可行得12分。每有一项缺项扣2分，每有一处内容存在缺陷，扣1分，扣完为止，未提供相关内容本项不计分。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整体服务方案2</w:t>
            </w:r>
          </w:p>
        </w:tc>
        <w:tc>
          <w:tcPr>
            <w:tcW w:type="dxa" w:w="2492"/>
          </w:tcPr>
          <w:p>
            <w:pPr>
              <w:pStyle w:val="null3"/>
            </w:pPr>
            <w:r>
              <w:rPr>
                <w:rFonts w:ascii="仿宋_GB2312" w:hAnsi="仿宋_GB2312" w:cs="仿宋_GB2312" w:eastAsia="仿宋_GB2312"/>
              </w:rPr>
              <w:t>重难点分析及解决方案包括但不限于：①技术方面；②人员管理；③方案优化建议；④针对性技术建议； 评审标准：方案各项内容全面详细、阐述条理清晰、具有针对性、合理可行得8分。每有一项缺项扣2分，每有一处内容存在缺陷，扣1分，扣完为止，未提供相关内容本项不计分。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整体服务方案3</w:t>
            </w:r>
          </w:p>
        </w:tc>
        <w:tc>
          <w:tcPr>
            <w:tcW w:type="dxa" w:w="2492"/>
          </w:tcPr>
          <w:p>
            <w:pPr>
              <w:pStyle w:val="null3"/>
            </w:pPr>
            <w:r>
              <w:rPr>
                <w:rFonts w:ascii="仿宋_GB2312" w:hAnsi="仿宋_GB2312" w:cs="仿宋_GB2312" w:eastAsia="仿宋_GB2312"/>
              </w:rPr>
              <w:t>进度计划包括但不限于：①服务进度计划；②进度控制措施；③特殊气候制定专项进度保证承诺及应对预案等。 评审标准：方案各项内容全面详细、阐述条理清晰、具有针对性、合理可行得6分。每有一项缺项扣2分，每有一处内容存在缺陷，扣1分，扣完为止，未提供相关内容本项不计分。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整体服务方案4</w:t>
            </w:r>
          </w:p>
        </w:tc>
        <w:tc>
          <w:tcPr>
            <w:tcW w:type="dxa" w:w="2492"/>
          </w:tcPr>
          <w:p>
            <w:pPr>
              <w:pStyle w:val="null3"/>
            </w:pPr>
            <w:r>
              <w:rPr>
                <w:rFonts w:ascii="仿宋_GB2312" w:hAnsi="仿宋_GB2312" w:cs="仿宋_GB2312" w:eastAsia="仿宋_GB2312"/>
              </w:rPr>
              <w:t>所使用的肥料、土壤调理剂、阻控剂、钝化剂等耕地投入品详细，明确；符合国家相关标准；禁止使用重金属超标的投入品，不可对土壤、地下水、大气等周边环境造成二次污染，需提供包括但不限于产品合格证及检测报告等相关证明材料。 ①证明材料齐全，详细，全面的计4分； ②证明材料不全面的或耕地投入品不明确的计2分； ③未提供相关内容的不计分。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整体服务方案5</w:t>
            </w:r>
          </w:p>
        </w:tc>
        <w:tc>
          <w:tcPr>
            <w:tcW w:type="dxa" w:w="2492"/>
          </w:tcPr>
          <w:p>
            <w:pPr>
              <w:pStyle w:val="null3"/>
            </w:pPr>
            <w:r>
              <w:rPr>
                <w:rFonts w:ascii="仿宋_GB2312" w:hAnsi="仿宋_GB2312" w:cs="仿宋_GB2312" w:eastAsia="仿宋_GB2312"/>
              </w:rPr>
              <w:t>管理措施及保证措施包括但不限于：①有完整可行的实施计划；②质量保障措施；③有先进、可行、具体的服务保证措施；④管理制度；⑤具体可行的质量违约责任承诺等。 评审标准：方案各项内容全面详细、阐述条理清晰、具有针对性、合理可行得10分。每有一项缺项扣2分，每有一处内容存在缺陷，扣1分，扣完为止，未提供相关内容本项不计分。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整体服务方案6</w:t>
            </w:r>
          </w:p>
        </w:tc>
        <w:tc>
          <w:tcPr>
            <w:tcW w:type="dxa" w:w="2492"/>
          </w:tcPr>
          <w:p>
            <w:pPr>
              <w:pStyle w:val="null3"/>
            </w:pPr>
            <w:r>
              <w:rPr>
                <w:rFonts w:ascii="仿宋_GB2312" w:hAnsi="仿宋_GB2312" w:cs="仿宋_GB2312" w:eastAsia="仿宋_GB2312"/>
              </w:rPr>
              <w:t>提供有利于项目实施的合理化建议包括但不限于：①进度管控优化建议；②技术保障建议；③质量与管控建议；④资料管理建议等。 评审标准：方案各项内容全面详细、阐述条理清晰、具有针对性、合理可行得8分。每有一项缺项扣2分，每有一处内容存在缺陷，扣1分，扣完为止，未提供相关内容本项不计分。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整体服务方案7</w:t>
            </w:r>
          </w:p>
        </w:tc>
        <w:tc>
          <w:tcPr>
            <w:tcW w:type="dxa" w:w="2492"/>
          </w:tcPr>
          <w:p>
            <w:pPr>
              <w:pStyle w:val="null3"/>
            </w:pPr>
            <w:r>
              <w:rPr>
                <w:rFonts w:ascii="仿宋_GB2312" w:hAnsi="仿宋_GB2312" w:cs="仿宋_GB2312" w:eastAsia="仿宋_GB2312"/>
              </w:rPr>
              <w:t>履约能力包括但不限于：①资金筹措；②投入设备；③人员素质；④管理水平等。 评审标准：方案各项内容全面详细、阐述条理清晰、具有针对性、合理可行得8分。每有一项缺项扣2分，每有一处内容存在缺陷，扣1分，扣完为止，未提供相关内容本项不计分。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以合同形式提供供应商2023年至今同类项目业绩，每份计2分，计满8分为止；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包括但不限于：①组织架构；②责任制度；③拟派项目组人员配置；④职责划分明确；⑤专业搭配合理等。 评审标准：各项内容全面详细、阐述条理清晰、具有针对性、合理可行得10分。每有一项缺项扣2分，每有一处内容存在缺陷，扣1分，扣完为止，未提供相关内容本项不计分。 备注：缺陷是指内容专业搭配不足，职责划分不具体，人员配置不合理等任意一种情形。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服务承诺包括但不限于：①服务措施承诺；②服务响应时效；③可提供的咨询或后期服务内容等。 评审标准：方案各项内容全面详细、阐述条理清晰、具有针对性、合理可行得6分。每有一项缺项扣2分，每有一处内容存在缺陷，扣1分，扣完为止，未提供相关内容本项不计分。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详见附件：拟派项目组人员.docx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详见附件：被授权人承诺书.docx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