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版本号：PZZX-26-B00320260202001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焦岱镇鲍旗寨村小麦繁育基地油菜观光园建设项目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PZZX-26-B003</w:t>
      </w:r>
      <w:r>
        <w:br/>
      </w:r>
      <w:r>
        <w:br/>
      </w:r>
      <w:r>
        <w:br/>
      </w:r>
    </w:p>
    <w:p>
      <w:pPr>
        <w:pStyle w:val="null3"/>
        <w:jc w:val="center"/>
        <w:outlineLvl w:val="2"/>
      </w:pPr>
      <w:r>
        <w:rPr>
          <w:rFonts w:ascii="仿宋_GB2312" w:hAnsi="仿宋_GB2312" w:cs="仿宋_GB2312" w:eastAsia="仿宋_GB2312"/>
          <w:sz w:val="28"/>
          <w:b/>
        </w:rPr>
        <w:t>西安市蓝田县焦岱镇人民政府（本级）</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西安市蓝田县焦岱镇人民政府（本级）</w:t>
      </w:r>
      <w:r>
        <w:rPr>
          <w:rFonts w:ascii="仿宋_GB2312" w:hAnsi="仿宋_GB2312" w:cs="仿宋_GB2312" w:eastAsia="仿宋_GB2312"/>
        </w:rPr>
        <w:t>委托，拟对</w:t>
      </w:r>
      <w:r>
        <w:rPr>
          <w:rFonts w:ascii="仿宋_GB2312" w:hAnsi="仿宋_GB2312" w:cs="仿宋_GB2312" w:eastAsia="仿宋_GB2312"/>
        </w:rPr>
        <w:t>焦岱镇鲍旗寨村小麦繁育基地油菜观光园建设项目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PZZX-26-B003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焦岱镇鲍旗寨村小麦繁育基地油菜观光园建设项目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通过开展规模种养投入、经营主体培育、农产品品牌打造及联农带农增收等工作，实现农业产业提质、经营主体能力提升、品牌价值凸显及农户增收的综合绩效目标。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2024年度或2025年度经审计的财务报告（包括四表一注）及健全的财务会计制度，且无反对意见；或在谈判截止日期前六个月内其基本开户银行出具的资信证明(附《基本存款账户信息》或《银行开户许可证》复印件）；</w:t>
      </w:r>
    </w:p>
    <w:p>
      <w:pPr>
        <w:pStyle w:val="null3"/>
      </w:pPr>
      <w:r>
        <w:rPr>
          <w:rFonts w:ascii="仿宋_GB2312" w:hAnsi="仿宋_GB2312" w:cs="仿宋_GB2312" w:eastAsia="仿宋_GB2312"/>
        </w:rPr>
        <w:t>3、税收缴纳证明：提供谈判响应文件提交截止时间一年内近三个月（谈判截止时间当月不计入）已缴纳的增值税或企业所得税的凭据，其他组织和自然人提供响应文件递交截止时间一年内近三个月缴纳税收的凭据；在法规范围内不需提供的应出具书面说明和证明文件或具有依法缴纳税收的诚信声明；</w:t>
      </w:r>
    </w:p>
    <w:p>
      <w:pPr>
        <w:pStyle w:val="null3"/>
      </w:pPr>
      <w:r>
        <w:rPr>
          <w:rFonts w:ascii="仿宋_GB2312" w:hAnsi="仿宋_GB2312" w:cs="仿宋_GB2312" w:eastAsia="仿宋_GB2312"/>
        </w:rPr>
        <w:t>4、社会保障资金缴纳证明：提供谈判响应文件提交截止时间一年内近三个月个（谈判截止时间当月不计入）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5、承诺函：提供具有履行本合同所必需的设备和专业技术能力的说明及承诺</w:t>
      </w:r>
    </w:p>
    <w:p>
      <w:pPr>
        <w:pStyle w:val="null3"/>
      </w:pPr>
      <w:r>
        <w:rPr>
          <w:rFonts w:ascii="仿宋_GB2312" w:hAnsi="仿宋_GB2312" w:cs="仿宋_GB2312" w:eastAsia="仿宋_GB2312"/>
        </w:rPr>
        <w:t>6、法定代表人身份证明书或法定代表人授权书：供应商应授权合法的人员参加谈判，其中法定代表人直接参加的，须出具法人身份证，并与营业执照上信息一致；授权代表参加的，须出具法定代表人授权书、被授权人身份证</w:t>
      </w:r>
    </w:p>
    <w:p>
      <w:pPr>
        <w:pStyle w:val="null3"/>
      </w:pPr>
      <w:r>
        <w:rPr>
          <w:rFonts w:ascii="仿宋_GB2312" w:hAnsi="仿宋_GB2312" w:cs="仿宋_GB2312" w:eastAsia="仿宋_GB2312"/>
        </w:rPr>
        <w:t>7、书面说明：出具参加本次政府采购活动前三年内在经营活动中没有重大违法记录的书面声明</w:t>
      </w:r>
    </w:p>
    <w:p>
      <w:pPr>
        <w:pStyle w:val="null3"/>
      </w:pPr>
      <w:r>
        <w:rPr>
          <w:rFonts w:ascii="仿宋_GB2312" w:hAnsi="仿宋_GB2312" w:cs="仿宋_GB2312" w:eastAsia="仿宋_GB2312"/>
        </w:rPr>
        <w:t>8、查询截图：投标供应商应在“中国政府采购网”网站查询相关主体无失信记录，“信用中国” 未列入失信被执行人、重大税收违法案件当事人名单、政府采购严重违法失信行为记录名单，查询时间不早于本公告发布之日；（网站查询的截图，加盖投标供应商公章）</w:t>
      </w:r>
    </w:p>
    <w:p>
      <w:pPr>
        <w:pStyle w:val="null3"/>
      </w:pPr>
      <w:r>
        <w:rPr>
          <w:rFonts w:ascii="仿宋_GB2312" w:hAnsi="仿宋_GB2312" w:cs="仿宋_GB2312" w:eastAsia="仿宋_GB2312"/>
        </w:rPr>
        <w:t>9、控股管理关系说明：单位负责人为同一人或者存在直接控股、管理关系的不同供应商，不得参加同一合同项下的政府采购活动，须提供控股管理关系说明。（根据财库【2019】38号文规定，此项在投标时提供“国家企业信用信息公示系统”查询截图；如网站无供应商信息的，供应商须提供相关证明资料或书面声明）</w:t>
      </w:r>
    </w:p>
    <w:p>
      <w:pPr>
        <w:pStyle w:val="null3"/>
      </w:pPr>
      <w:r>
        <w:rPr>
          <w:rFonts w:ascii="仿宋_GB2312" w:hAnsi="仿宋_GB2312" w:cs="仿宋_GB2312" w:eastAsia="仿宋_GB2312"/>
        </w:rPr>
        <w:t>10、资质证明：供应商具有住建部门颁发的市政公用工程施工总承包三级及以上资质或建筑工程施工总承包三级及以上资质，具有建设行政主管部门颁发的安全生产许可证</w:t>
      </w:r>
    </w:p>
    <w:p>
      <w:pPr>
        <w:pStyle w:val="null3"/>
      </w:pPr>
      <w:r>
        <w:rPr>
          <w:rFonts w:ascii="仿宋_GB2312" w:hAnsi="仿宋_GB2312" w:cs="仿宋_GB2312" w:eastAsia="仿宋_GB2312"/>
        </w:rPr>
        <w:t>11、项目经理资质证明：拟派项目经理具有建筑工程专业二级及以上注册建造师执业资格，具备有效的安全生产考核合格证书，在本单位注册且无在建工程，无不良记录(提供无在建、无不良记录的承诺)</w:t>
      </w:r>
    </w:p>
    <w:p>
      <w:pPr>
        <w:pStyle w:val="null3"/>
      </w:pPr>
      <w:r>
        <w:rPr>
          <w:rFonts w:ascii="仿宋_GB2312" w:hAnsi="仿宋_GB2312" w:cs="仿宋_GB2312" w:eastAsia="仿宋_GB2312"/>
        </w:rPr>
        <w:t>12、备案情况：供应商应当按照要求完成供应商注册和信息完善，加入政府采购平台供应商库，外地企业应在陕西建筑市场监管与诚信信息一体化平台备案，提供备案证明资料；</w:t>
      </w:r>
    </w:p>
    <w:p>
      <w:pPr>
        <w:pStyle w:val="null3"/>
      </w:pPr>
      <w:r>
        <w:rPr>
          <w:rFonts w:ascii="仿宋_GB2312" w:hAnsi="仿宋_GB2312" w:cs="仿宋_GB2312" w:eastAsia="仿宋_GB2312"/>
        </w:rPr>
        <w:t>13、非联合体谈判说明：本项目不接受联合体谈判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西安市蓝田县焦岱镇人民政府（本级）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蓝田县焦岱镇焦岱街村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苏泽强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15829773055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陕西省西安市未央区凤城八路与贞观路十字向北200米天和广场803室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孙丽娜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15829098185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西安市蓝田县焦岱镇人民政府（本级）</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西安市蓝田县焦岱镇人民政府（本级）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西安市蓝田县焦岱镇人民政府（本级）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品智工程咨询有限公司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联系人：孙丽娜</w:t>
      </w:r>
    </w:p>
    <w:p>
      <w:pPr>
        <w:pStyle w:val="null3"/>
      </w:pPr>
      <w:r>
        <w:rPr>
          <w:rFonts w:ascii="仿宋_GB2312" w:hAnsi="仿宋_GB2312" w:cs="仿宋_GB2312" w:eastAsia="仿宋_GB2312"/>
        </w:rPr>
        <w:t>联系电话：15829098185</w:t>
      </w:r>
    </w:p>
    <w:p>
      <w:pPr>
        <w:pStyle w:val="null3"/>
      </w:pPr>
      <w:r>
        <w:rPr>
          <w:rFonts w:ascii="仿宋_GB2312" w:hAnsi="仿宋_GB2312" w:cs="仿宋_GB2312" w:eastAsia="仿宋_GB2312"/>
        </w:rPr>
        <w:t>地址：陕西省西安市未央区陕西省西安市经济技术开发区凤城七路长和国际A座1502室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通过开展规模种养投入、经营主体培育、农产品品牌打造及联农带农增收等工作，实现农业产业提质、经营主体能力提升、品牌价值凸显及农户增收的综合绩效目标。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小麦繁育基地油菜观光园建设项目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标的名称：小麦繁育基地油菜观光园建设项目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3"/>
              <w:gridCol w:w="647"/>
              <w:gridCol w:w="420"/>
              <w:gridCol w:w="358"/>
              <w:gridCol w:w="1559"/>
            </w:tblGrid>
            <w:tr>
              <w:tc>
                <w:tcPr>
                  <w:tcW w:type="dxa" w:w="19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64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42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5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55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设备参数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拖拉机</w:t>
                  </w:r>
                </w:p>
                <w:p>
                  <w:pPr>
                    <w:pStyle w:val="null3"/>
                    <w:jc w:val="center"/>
                  </w:pPr>
                  <w:r>
                    <w:rPr>
                      <w:rFonts w:ascii="仿宋_GB2312" w:hAnsi="仿宋_GB2312" w:cs="仿宋_GB2312" w:eastAsia="仿宋_GB2312"/>
                      <w:sz w:val="21"/>
                      <w:color w:val="000000"/>
                    </w:rPr>
                    <w:t>（核心产品）</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整机质量</w:t>
                  </w:r>
                  <w:r>
                    <w:rPr>
                      <w:rFonts w:ascii="仿宋_GB2312" w:hAnsi="仿宋_GB2312" w:cs="仿宋_GB2312" w:eastAsia="仿宋_GB2312"/>
                      <w:sz w:val="21"/>
                      <w:color w:val="000000"/>
                    </w:rPr>
                    <w:t>≥6430Kg；</w:t>
                  </w:r>
                </w:p>
                <w:p>
                  <w:pPr>
                    <w:pStyle w:val="null3"/>
                    <w:jc w:val="left"/>
                  </w:pP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≥147KW；</w:t>
                  </w:r>
                </w:p>
                <w:p>
                  <w:pPr>
                    <w:pStyle w:val="null3"/>
                    <w:jc w:val="left"/>
                  </w:pPr>
                  <w:r>
                    <w:rPr>
                      <w:rFonts w:ascii="仿宋_GB2312" w:hAnsi="仿宋_GB2312" w:cs="仿宋_GB2312" w:eastAsia="仿宋_GB2312"/>
                      <w:sz w:val="21"/>
                      <w:color w:val="000000"/>
                    </w:rPr>
                    <w:t>轴距</w:t>
                  </w:r>
                  <w:r>
                    <w:rPr>
                      <w:rFonts w:ascii="仿宋_GB2312" w:hAnsi="仿宋_GB2312" w:cs="仿宋_GB2312" w:eastAsia="仿宋_GB2312"/>
                      <w:sz w:val="21"/>
                      <w:color w:val="000000"/>
                    </w:rPr>
                    <w:t>≥2700mm；</w:t>
                  </w:r>
                </w:p>
                <w:p>
                  <w:pPr>
                    <w:pStyle w:val="null3"/>
                    <w:jc w:val="left"/>
                  </w:pPr>
                  <w:r>
                    <w:rPr>
                      <w:rFonts w:ascii="仿宋_GB2312" w:hAnsi="仿宋_GB2312" w:cs="仿宋_GB2312" w:eastAsia="仿宋_GB2312"/>
                      <w:sz w:val="21"/>
                      <w:color w:val="000000"/>
                    </w:rPr>
                    <w:t>轮距</w:t>
                  </w:r>
                  <w:r>
                    <w:rPr>
                      <w:rFonts w:ascii="仿宋_GB2312" w:hAnsi="仿宋_GB2312" w:cs="仿宋_GB2312" w:eastAsia="仿宋_GB2312"/>
                      <w:sz w:val="21"/>
                      <w:color w:val="000000"/>
                    </w:rPr>
                    <w:t>≥1880/1900mm；</w:t>
                  </w:r>
                </w:p>
                <w:p>
                  <w:pPr>
                    <w:pStyle w:val="null3"/>
                    <w:jc w:val="left"/>
                  </w:pPr>
                  <w:r>
                    <w:rPr>
                      <w:rFonts w:ascii="仿宋_GB2312" w:hAnsi="仿宋_GB2312" w:cs="仿宋_GB2312" w:eastAsia="仿宋_GB2312"/>
                      <w:sz w:val="21"/>
                      <w:color w:val="000000"/>
                    </w:rPr>
                    <w:t>外廓尺寸</w:t>
                  </w:r>
                  <w:r>
                    <w:rPr>
                      <w:rFonts w:ascii="仿宋_GB2312" w:hAnsi="仿宋_GB2312" w:cs="仿宋_GB2312" w:eastAsia="仿宋_GB2312"/>
                      <w:sz w:val="21"/>
                      <w:color w:val="000000"/>
                    </w:rPr>
                    <w:t>≥5360*2380*3100；</w:t>
                  </w:r>
                </w:p>
                <w:p>
                  <w:pPr>
                    <w:pStyle w:val="null3"/>
                    <w:jc w:val="left"/>
                  </w:pPr>
                  <w:r>
                    <w:rPr>
                      <w:rFonts w:ascii="仿宋_GB2312" w:hAnsi="仿宋_GB2312" w:cs="仿宋_GB2312" w:eastAsia="仿宋_GB2312"/>
                      <w:sz w:val="21"/>
                      <w:color w:val="000000"/>
                    </w:rPr>
                    <w:t>标定牵引力</w:t>
                  </w:r>
                  <w:r>
                    <w:rPr>
                      <w:rFonts w:ascii="仿宋_GB2312" w:hAnsi="仿宋_GB2312" w:cs="仿宋_GB2312" w:eastAsia="仿宋_GB2312"/>
                      <w:sz w:val="21"/>
                      <w:color w:val="000000"/>
                    </w:rPr>
                    <w:t>≥55800N；</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GB/T15370.3-2012。</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液压翻转犁</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≥110.2KW；</w:t>
                  </w:r>
                </w:p>
                <w:p>
                  <w:pPr>
                    <w:pStyle w:val="null3"/>
                    <w:jc w:val="left"/>
                  </w:pPr>
                  <w:r>
                    <w:rPr>
                      <w:rFonts w:ascii="仿宋_GB2312" w:hAnsi="仿宋_GB2312" w:cs="仿宋_GB2312" w:eastAsia="仿宋_GB2312"/>
                      <w:sz w:val="21"/>
                      <w:color w:val="000000"/>
                    </w:rPr>
                    <w:t>犁体幅宽</w:t>
                  </w:r>
                  <w:r>
                    <w:rPr>
                      <w:rFonts w:ascii="仿宋_GB2312" w:hAnsi="仿宋_GB2312" w:cs="仿宋_GB2312" w:eastAsia="仿宋_GB2312"/>
                      <w:sz w:val="21"/>
                      <w:color w:val="000000"/>
                    </w:rPr>
                    <w:t>≥480*550mm；</w:t>
                  </w:r>
                </w:p>
                <w:p>
                  <w:pPr>
                    <w:pStyle w:val="null3"/>
                    <w:jc w:val="left"/>
                  </w:pPr>
                  <w:r>
                    <w:rPr>
                      <w:rFonts w:ascii="仿宋_GB2312" w:hAnsi="仿宋_GB2312" w:cs="仿宋_GB2312" w:eastAsia="仿宋_GB2312"/>
                      <w:sz w:val="21"/>
                      <w:color w:val="000000"/>
                    </w:rPr>
                    <w:t>可调耕深</w:t>
                  </w:r>
                  <w:r>
                    <w:rPr>
                      <w:rFonts w:ascii="仿宋_GB2312" w:hAnsi="仿宋_GB2312" w:cs="仿宋_GB2312" w:eastAsia="仿宋_GB2312"/>
                      <w:sz w:val="21"/>
                      <w:color w:val="000000"/>
                    </w:rPr>
                    <w:t>≥90-280mm；</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:GB/T14225-2008。</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旋耕机</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≥80.8 kW；</w:t>
                  </w:r>
                </w:p>
                <w:p>
                  <w:pPr>
                    <w:pStyle w:val="null3"/>
                    <w:jc w:val="left"/>
                  </w:pPr>
                  <w:r>
                    <w:rPr>
                      <w:rFonts w:ascii="仿宋_GB2312" w:hAnsi="仿宋_GB2312" w:cs="仿宋_GB2312" w:eastAsia="仿宋_GB2312"/>
                      <w:sz w:val="21"/>
                      <w:color w:val="000000"/>
                    </w:rPr>
                    <w:t>工作幅宽</w:t>
                  </w:r>
                  <w:r>
                    <w:rPr>
                      <w:rFonts w:ascii="仿宋_GB2312" w:hAnsi="仿宋_GB2312" w:cs="仿宋_GB2312" w:eastAsia="仿宋_GB2312"/>
                      <w:sz w:val="21"/>
                      <w:color w:val="000000"/>
                    </w:rPr>
                    <w:t>≥250</w:t>
                  </w:r>
                  <w:r>
                    <w:rPr>
                      <w:rFonts w:ascii="仿宋_GB2312" w:hAnsi="仿宋_GB2312" w:cs="仿宋_GB2312" w:eastAsia="仿宋_GB2312"/>
                      <w:sz w:val="21"/>
                      <w:color w:val="000000"/>
                    </w:rPr>
                    <w:t>cm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动力输出轴转速</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720 </w:t>
                  </w:r>
                  <w:r>
                    <w:rPr>
                      <w:rFonts w:ascii="仿宋_GB2312" w:hAnsi="仿宋_GB2312" w:cs="仿宋_GB2312" w:eastAsia="仿宋_GB2312"/>
                      <w:sz w:val="21"/>
                      <w:color w:val="000000"/>
                    </w:rPr>
                    <w:t>/540</w:t>
                  </w:r>
                  <w:r>
                    <w:rPr>
                      <w:rFonts w:ascii="仿宋_GB2312" w:hAnsi="仿宋_GB2312" w:cs="仿宋_GB2312" w:eastAsia="仿宋_GB2312"/>
                      <w:sz w:val="21"/>
                      <w:color w:val="000000"/>
                    </w:rPr>
                    <w:t>r/min</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≥127</w:t>
                  </w:r>
                  <w:r>
                    <w:rPr>
                      <w:rFonts w:ascii="仿宋_GB2312" w:hAnsi="仿宋_GB2312" w:cs="仿宋_GB2312" w:eastAsia="仿宋_GB2312"/>
                      <w:sz w:val="21"/>
                      <w:color w:val="000000"/>
                    </w:rPr>
                    <w:t>0X</w:t>
                  </w:r>
                  <w:r>
                    <w:rPr>
                      <w:rFonts w:ascii="仿宋_GB2312" w:hAnsi="仿宋_GB2312" w:cs="仿宋_GB2312" w:eastAsia="仿宋_GB2312"/>
                      <w:sz w:val="21"/>
                      <w:color w:val="000000"/>
                    </w:rPr>
                    <w:t>28</w:t>
                  </w:r>
                  <w:r>
                    <w:rPr>
                      <w:rFonts w:ascii="仿宋_GB2312" w:hAnsi="仿宋_GB2312" w:cs="仿宋_GB2312" w:eastAsia="仿宋_GB2312"/>
                      <w:sz w:val="21"/>
                      <w:color w:val="000000"/>
                    </w:rPr>
                    <w:t>10X1</w:t>
                  </w:r>
                  <w:r>
                    <w:rPr>
                      <w:rFonts w:ascii="仿宋_GB2312" w:hAnsi="仿宋_GB2312" w:cs="仿宋_GB2312" w:eastAsia="仿宋_GB2312"/>
                      <w:sz w:val="21"/>
                      <w:color w:val="000000"/>
                    </w:rPr>
                    <w:t>221</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质量</w:t>
                  </w:r>
                  <w:r>
                    <w:rPr>
                      <w:rFonts w:ascii="仿宋_GB2312" w:hAnsi="仿宋_GB2312" w:cs="仿宋_GB2312" w:eastAsia="仿宋_GB2312"/>
                      <w:sz w:val="21"/>
                      <w:color w:val="000000"/>
                    </w:rPr>
                    <w:t>≥56</w:t>
                  </w:r>
                  <w:r>
                    <w:rPr>
                      <w:rFonts w:ascii="仿宋_GB2312" w:hAnsi="仿宋_GB2312" w:cs="仿宋_GB2312" w:eastAsia="仿宋_GB2312"/>
                      <w:sz w:val="21"/>
                      <w:color w:val="000000"/>
                    </w:rPr>
                    <w:t>0 kg</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:GB/T5668-2017</w:t>
                  </w:r>
                  <w:r>
                    <w:rPr>
                      <w:rFonts w:ascii="仿宋_GB2312" w:hAnsi="仿宋_GB2312" w:cs="仿宋_GB2312" w:eastAsia="仿宋_GB2312"/>
                      <w:sz w:val="21"/>
                      <w:color w:val="000000"/>
                    </w:rPr>
                    <w:t>。</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自走式玉米籽粒联合收获机</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≥140KW；</w:t>
                  </w:r>
                </w:p>
                <w:p>
                  <w:pPr>
                    <w:pStyle w:val="null3"/>
                    <w:jc w:val="left"/>
                  </w:pPr>
                  <w:r>
                    <w:rPr>
                      <w:rFonts w:ascii="仿宋_GB2312" w:hAnsi="仿宋_GB2312" w:cs="仿宋_GB2312" w:eastAsia="仿宋_GB2312"/>
                      <w:sz w:val="21"/>
                      <w:color w:val="000000"/>
                    </w:rPr>
                    <w:t>轴距</w:t>
                  </w:r>
                  <w:r>
                    <w:rPr>
                      <w:rFonts w:ascii="仿宋_GB2312" w:hAnsi="仿宋_GB2312" w:cs="仿宋_GB2312" w:eastAsia="仿宋_GB2312"/>
                      <w:sz w:val="21"/>
                      <w:color w:val="000000"/>
                    </w:rPr>
                    <w:t>≥3130mm；</w:t>
                  </w:r>
                </w:p>
                <w:p>
                  <w:pPr>
                    <w:pStyle w:val="null3"/>
                    <w:jc w:val="left"/>
                  </w:pPr>
                  <w:r>
                    <w:rPr>
                      <w:rFonts w:ascii="仿宋_GB2312" w:hAnsi="仿宋_GB2312" w:cs="仿宋_GB2312" w:eastAsia="仿宋_GB2312"/>
                      <w:sz w:val="21"/>
                      <w:color w:val="000000"/>
                    </w:rPr>
                    <w:t>轮距</w:t>
                  </w:r>
                  <w:r>
                    <w:rPr>
                      <w:rFonts w:ascii="仿宋_GB2312" w:hAnsi="仿宋_GB2312" w:cs="仿宋_GB2312" w:eastAsia="仿宋_GB2312"/>
                      <w:sz w:val="21"/>
                      <w:color w:val="000000"/>
                    </w:rPr>
                    <w:t>≥1950/2000mm；</w:t>
                  </w:r>
                </w:p>
                <w:p>
                  <w:pPr>
                    <w:pStyle w:val="null3"/>
                    <w:jc w:val="left"/>
                  </w:pPr>
                  <w:r>
                    <w:rPr>
                      <w:rFonts w:ascii="仿宋_GB2312" w:hAnsi="仿宋_GB2312" w:cs="仿宋_GB2312" w:eastAsia="仿宋_GB2312"/>
                      <w:sz w:val="21"/>
                      <w:color w:val="000000"/>
                    </w:rPr>
                    <w:t>割台宽度</w:t>
                  </w:r>
                  <w:r>
                    <w:rPr>
                      <w:rFonts w:ascii="仿宋_GB2312" w:hAnsi="仿宋_GB2312" w:cs="仿宋_GB2312" w:eastAsia="仿宋_GB2312"/>
                      <w:sz w:val="21"/>
                      <w:color w:val="000000"/>
                    </w:rPr>
                    <w:t>≥2950mm；</w:t>
                  </w:r>
                </w:p>
                <w:p>
                  <w:pPr>
                    <w:pStyle w:val="null3"/>
                    <w:jc w:val="left"/>
                  </w:pPr>
                  <w:r>
                    <w:rPr>
                      <w:rFonts w:ascii="仿宋_GB2312" w:hAnsi="仿宋_GB2312" w:cs="仿宋_GB2312" w:eastAsia="仿宋_GB2312"/>
                      <w:sz w:val="21"/>
                      <w:color w:val="000000"/>
                    </w:rPr>
                    <w:t>外廓尺寸</w:t>
                  </w:r>
                  <w:r>
                    <w:rPr>
                      <w:rFonts w:ascii="仿宋_GB2312" w:hAnsi="仿宋_GB2312" w:cs="仿宋_GB2312" w:eastAsia="仿宋_GB2312"/>
                      <w:sz w:val="21"/>
                      <w:color w:val="000000"/>
                    </w:rPr>
                    <w:t>≥7020*3000*3450；</w:t>
                  </w:r>
                </w:p>
                <w:p>
                  <w:pPr>
                    <w:pStyle w:val="null3"/>
                    <w:jc w:val="left"/>
                  </w:pPr>
                  <w:r>
                    <w:rPr>
                      <w:rFonts w:ascii="仿宋_GB2312" w:hAnsi="仿宋_GB2312" w:cs="仿宋_GB2312" w:eastAsia="仿宋_GB2312"/>
                      <w:sz w:val="21"/>
                      <w:color w:val="000000"/>
                    </w:rPr>
                    <w:t>喂入量</w:t>
                  </w:r>
                  <w:r>
                    <w:rPr>
                      <w:rFonts w:ascii="仿宋_GB2312" w:hAnsi="仿宋_GB2312" w:cs="仿宋_GB2312" w:eastAsia="仿宋_GB2312"/>
                      <w:sz w:val="21"/>
                      <w:color w:val="000000"/>
                    </w:rPr>
                    <w:t>≥5kg/s；</w:t>
                  </w:r>
                </w:p>
                <w:p>
                  <w:pPr>
                    <w:pStyle w:val="null3"/>
                    <w:jc w:val="left"/>
                  </w:pPr>
                  <w:r>
                    <w:rPr>
                      <w:rFonts w:ascii="仿宋_GB2312" w:hAnsi="仿宋_GB2312" w:cs="仿宋_GB2312" w:eastAsia="仿宋_GB2312"/>
                      <w:sz w:val="21"/>
                      <w:color w:val="000000"/>
                    </w:rPr>
                    <w:t>质量</w:t>
                  </w:r>
                  <w:r>
                    <w:rPr>
                      <w:rFonts w:ascii="仿宋_GB2312" w:hAnsi="仿宋_GB2312" w:cs="仿宋_GB2312" w:eastAsia="仿宋_GB2312"/>
                      <w:sz w:val="21"/>
                      <w:color w:val="000000"/>
                    </w:rPr>
                    <w:t>≥6900kg。</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玉米精量播种机</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配套动力</w:t>
                  </w:r>
                  <w:r>
                    <w:rPr>
                      <w:rFonts w:ascii="仿宋_GB2312" w:hAnsi="仿宋_GB2312" w:cs="仿宋_GB2312" w:eastAsia="仿宋_GB2312"/>
                      <w:sz w:val="21"/>
                      <w:color w:val="000000"/>
                    </w:rPr>
                    <w:t>≥66KW；</w:t>
                  </w:r>
                </w:p>
                <w:p>
                  <w:pPr>
                    <w:pStyle w:val="null3"/>
                    <w:jc w:val="left"/>
                  </w:pP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≥3130*1800*1200mm；</w:t>
                  </w:r>
                </w:p>
                <w:p>
                  <w:pPr>
                    <w:pStyle w:val="null3"/>
                    <w:jc w:val="left"/>
                  </w:pPr>
                  <w:r>
                    <w:rPr>
                      <w:rFonts w:ascii="仿宋_GB2312" w:hAnsi="仿宋_GB2312" w:cs="仿宋_GB2312" w:eastAsia="仿宋_GB2312"/>
                      <w:sz w:val="21"/>
                      <w:color w:val="000000"/>
                    </w:rPr>
                    <w:t>工作行数</w:t>
                  </w:r>
                  <w:r>
                    <w:rPr>
                      <w:rFonts w:ascii="仿宋_GB2312" w:hAnsi="仿宋_GB2312" w:cs="仿宋_GB2312" w:eastAsia="仿宋_GB2312"/>
                      <w:sz w:val="21"/>
                      <w:color w:val="000000"/>
                    </w:rPr>
                    <w:t>≥6行；</w:t>
                  </w:r>
                </w:p>
                <w:p>
                  <w:pPr>
                    <w:pStyle w:val="null3"/>
                    <w:jc w:val="left"/>
                  </w:pPr>
                  <w:r>
                    <w:rPr>
                      <w:rFonts w:ascii="仿宋_GB2312" w:hAnsi="仿宋_GB2312" w:cs="仿宋_GB2312" w:eastAsia="仿宋_GB2312"/>
                      <w:sz w:val="21"/>
                      <w:color w:val="000000"/>
                    </w:rPr>
                    <w:t>整机质量</w:t>
                  </w:r>
                  <w:r>
                    <w:rPr>
                      <w:rFonts w:ascii="仿宋_GB2312" w:hAnsi="仿宋_GB2312" w:cs="仿宋_GB2312" w:eastAsia="仿宋_GB2312"/>
                      <w:sz w:val="21"/>
                      <w:color w:val="000000"/>
                    </w:rPr>
                    <w:t>≥645kg；</w:t>
                  </w:r>
                </w:p>
                <w:p>
                  <w:pPr>
                    <w:pStyle w:val="null3"/>
                    <w:jc w:val="left"/>
                  </w:pPr>
                  <w:r>
                    <w:rPr>
                      <w:rFonts w:ascii="仿宋_GB2312" w:hAnsi="仿宋_GB2312" w:cs="仿宋_GB2312" w:eastAsia="仿宋_GB2312"/>
                      <w:sz w:val="21"/>
                      <w:color w:val="000000"/>
                    </w:rPr>
                    <w:t>工作幅宽（可调节）</w:t>
                  </w:r>
                  <w:r>
                    <w:rPr>
                      <w:rFonts w:ascii="仿宋_GB2312" w:hAnsi="仿宋_GB2312" w:cs="仿宋_GB2312" w:eastAsia="仿宋_GB2312"/>
                      <w:sz w:val="21"/>
                      <w:color w:val="000000"/>
                    </w:rPr>
                    <w:t>≥3360-4080mm；</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JB/T 10293-2013。</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条播机</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配套动力</w:t>
                  </w:r>
                  <w:r>
                    <w:rPr>
                      <w:rFonts w:ascii="仿宋_GB2312" w:hAnsi="仿宋_GB2312" w:cs="仿宋_GB2312" w:eastAsia="仿宋_GB2312"/>
                      <w:sz w:val="21"/>
                      <w:color w:val="000000"/>
                    </w:rPr>
                    <w:t>≥73.5KW；</w:t>
                  </w:r>
                </w:p>
                <w:p>
                  <w:pPr>
                    <w:pStyle w:val="null3"/>
                    <w:jc w:val="left"/>
                  </w:pP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≥2110*2730*1250mm；</w:t>
                  </w:r>
                </w:p>
                <w:p>
                  <w:pPr>
                    <w:pStyle w:val="null3"/>
                    <w:jc w:val="left"/>
                  </w:pPr>
                  <w:r>
                    <w:rPr>
                      <w:rFonts w:ascii="仿宋_GB2312" w:hAnsi="仿宋_GB2312" w:cs="仿宋_GB2312" w:eastAsia="仿宋_GB2312"/>
                      <w:sz w:val="21"/>
                      <w:color w:val="000000"/>
                    </w:rPr>
                    <w:t>工作行数</w:t>
                  </w:r>
                  <w:r>
                    <w:rPr>
                      <w:rFonts w:ascii="仿宋_GB2312" w:hAnsi="仿宋_GB2312" w:cs="仿宋_GB2312" w:eastAsia="仿宋_GB2312"/>
                      <w:sz w:val="21"/>
                      <w:color w:val="000000"/>
                    </w:rPr>
                    <w:t>≥12行；</w:t>
                  </w:r>
                </w:p>
                <w:p>
                  <w:pPr>
                    <w:pStyle w:val="null3"/>
                    <w:jc w:val="left"/>
                  </w:pPr>
                  <w:r>
                    <w:rPr>
                      <w:rFonts w:ascii="仿宋_GB2312" w:hAnsi="仿宋_GB2312" w:cs="仿宋_GB2312" w:eastAsia="仿宋_GB2312"/>
                      <w:sz w:val="21"/>
                      <w:color w:val="000000"/>
                    </w:rPr>
                    <w:t>整机质量</w:t>
                  </w:r>
                  <w:r>
                    <w:rPr>
                      <w:rFonts w:ascii="仿宋_GB2312" w:hAnsi="仿宋_GB2312" w:cs="仿宋_GB2312" w:eastAsia="仿宋_GB2312"/>
                      <w:sz w:val="21"/>
                      <w:color w:val="000000"/>
                    </w:rPr>
                    <w:t>≥470kg；</w:t>
                  </w:r>
                </w:p>
                <w:p>
                  <w:pPr>
                    <w:pStyle w:val="null3"/>
                    <w:jc w:val="left"/>
                  </w:pPr>
                  <w:r>
                    <w:rPr>
                      <w:rFonts w:ascii="仿宋_GB2312" w:hAnsi="仿宋_GB2312" w:cs="仿宋_GB2312" w:eastAsia="仿宋_GB2312"/>
                      <w:sz w:val="21"/>
                      <w:color w:val="000000"/>
                    </w:rPr>
                    <w:t>工作幅宽</w:t>
                  </w:r>
                  <w:r>
                    <w:rPr>
                      <w:rFonts w:ascii="仿宋_GB2312" w:hAnsi="仿宋_GB2312" w:cs="仿宋_GB2312" w:eastAsia="仿宋_GB2312"/>
                      <w:sz w:val="21"/>
                      <w:color w:val="000000"/>
                    </w:rPr>
                    <w:t>≥240cm；</w:t>
                  </w:r>
                </w:p>
                <w:p>
                  <w:pPr>
                    <w:pStyle w:val="null3"/>
                    <w:jc w:val="left"/>
                  </w:pP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JB/T 6274.1-2013。</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土地平整</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亩</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清除及外运地上附着物（乔木、树根等），深翻土地</w:t>
                  </w:r>
                  <w:r>
                    <w:rPr>
                      <w:rFonts w:ascii="仿宋_GB2312" w:hAnsi="仿宋_GB2312" w:cs="仿宋_GB2312" w:eastAsia="仿宋_GB2312"/>
                      <w:sz w:val="21"/>
                      <w:color w:val="000000"/>
                    </w:rPr>
                    <w:t>80 公分疏松土壤， 以满足后期农业种植的需要。</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 日历日内完成本项目所有内容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全部货物到达采购人指定地点，设备安装调试完毕后、试运行、质量检查等最终验收合格后，供应商需提供增值税发票、验收单、供货合同等文件及供应商须向采购人提供质量保函。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1.质保期为验收合格之日起不少于 12 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产品技术参数表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商务应答表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或2025年度经审计的财务报告（包括四表一注）及健全的财务会计制度，且无反对意见；或在谈判截止日期前六个月内其基本开户银行出具的资信证明(附《基本存款账户信息》或《银行开户许可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响应文件提交截止时间一年内近三个月（谈判截止时间当月不计入）已缴纳的增值税或企业所得税的凭据，其他组织和自然人提供响应文件递交截止时间一年内近三个月缴纳税收的凭据；在法规范围内不需提供的应出具书面说明和证明文件或具有依法缴纳税收的诚信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提供谈判响应文件提交截止时间一年内近三个月个（谈判截止时间当月不计入）已缴纳的社会保障资金缴存单据或社保机构开具的社会保险参保缴费情况证明，依法不需要缴纳社会保障资金的应提供相关文件证明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供应商应授权合法的人员参加谈判，其中法定代表人直接参加的，须出具法人身份证，并与营业执照上信息一致；授权代表参加的，须出具法定代表人授权书、被授权人身份证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书面说明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投标供应商应在“中国政府采购网”网站查询相关主体无失信记录，“信用中国” 未列入失信被执行人、重大税收违法案件当事人名单、政府采购严重违法失信行为记录名单，查询时间不早于本公告发布之日；（网站查询的截图，加盖投标供应商公章）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控股管理关系说明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须提供控股管理关系说明。（根据财库【2019】38号文规定，此项在投标时提供“国家企业信用信息公示系统”查询截图；如网站无供应商信息的，供应商须提供相关证明资料或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供应商具有住建部门颁发的市政公用工程施工总承包三级及以上资质或建筑工程施工总承包三级及以上资质，具有建设行政主管部门颁发的安全生产许可证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项目经理资质证明</w:t>
            </w:r>
          </w:p>
        </w:tc>
        <w:tc>
          <w:tcPr>
            <w:tcW w:type="dxa" w:w="3322"/>
          </w:tcPr>
          <w:p>
            <w:pPr>
              <w:pStyle w:val="null3"/>
            </w:pPr>
            <w:r>
              <w:rPr>
                <w:rFonts w:ascii="仿宋_GB2312" w:hAnsi="仿宋_GB2312" w:cs="仿宋_GB2312" w:eastAsia="仿宋_GB2312"/>
              </w:rPr>
              <w:t>拟派项目经理具有建筑工程专业二级及以上注册建造师执业资格，具备有效的安全生产考核合格证书，在本单位注册且无在建工程，无不良记录(提供无在建、无不良记录的承诺)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备案情况</w:t>
            </w:r>
          </w:p>
        </w:tc>
        <w:tc>
          <w:tcPr>
            <w:tcW w:type="dxa" w:w="3322"/>
          </w:tcPr>
          <w:p>
            <w:pPr>
              <w:pStyle w:val="null3"/>
            </w:pPr>
            <w:r>
              <w:rPr>
                <w:rFonts w:ascii="仿宋_GB2312" w:hAnsi="仿宋_GB2312" w:cs="仿宋_GB2312" w:eastAsia="仿宋_GB2312"/>
              </w:rPr>
              <w:t>供应商应当按照要求完成供应商注册和信息完善，加入政府采购平台供应商库，外地企业应在陕西建筑市场监管与诚信信息一体化平台备案，提供备案证明资料；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非联合体谈判说明</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谈判响应文件内是否有多个报价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w:t>
            </w:r>
          </w:p>
        </w:tc>
        <w:tc>
          <w:tcPr>
            <w:tcW w:type="dxa" w:w="3322"/>
          </w:tcPr>
          <w:p>
            <w:pPr>
              <w:pStyle w:val="null3"/>
            </w:pPr>
            <w:r>
              <w:rPr>
                <w:rFonts w:ascii="仿宋_GB2312" w:hAnsi="仿宋_GB2312" w:cs="仿宋_GB2312" w:eastAsia="仿宋_GB2312"/>
              </w:rPr>
              <w:t>谈判响应文件是否按满足谈判文件各项要求</w:t>
            </w:r>
          </w:p>
        </w:tc>
        <w:tc>
          <w:tcPr>
            <w:tcW w:type="dxa" w:w="1661"/>
          </w:tcPr>
          <w:p>
            <w:pPr>
              <w:pStyle w:val="null3"/>
            </w:pPr>
            <w:r>
              <w:rPr>
                <w:rFonts w:ascii="仿宋_GB2312" w:hAnsi="仿宋_GB2312" w:cs="仿宋_GB2312" w:eastAsia="仿宋_GB2312"/>
              </w:rPr>
              <w:t>分项报价表 中小企业声明函 商务应答表 供应商应提交的相关资格证明材料 报价表 拒绝政府采购领域商业贿赂承诺书 响应文件封面 产品技术参数表 资格证明文件 残疾人福利性单位声明函 供应商认为有必要补充说明的事宜 响应函 监狱企业的证明文件 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技术规格响应表</w:t>
            </w:r>
          </w:p>
        </w:tc>
        <w:tc>
          <w:tcPr>
            <w:tcW w:type="dxa" w:w="3322"/>
          </w:tcPr>
          <w:p>
            <w:pPr>
              <w:pStyle w:val="null3"/>
            </w:pPr>
            <w:r>
              <w:rPr>
                <w:rFonts w:ascii="仿宋_GB2312" w:hAnsi="仿宋_GB2312" w:cs="仿宋_GB2312" w:eastAsia="仿宋_GB2312"/>
              </w:rPr>
              <w:t>技术参数是否响应</w:t>
            </w:r>
          </w:p>
        </w:tc>
        <w:tc>
          <w:tcPr>
            <w:tcW w:type="dxa" w:w="1661"/>
          </w:tcPr>
          <w:p>
            <w:pPr>
              <w:pStyle w:val="null3"/>
            </w:pPr>
            <w:r>
              <w:rPr>
                <w:rFonts w:ascii="仿宋_GB2312" w:hAnsi="仿宋_GB2312" w:cs="仿宋_GB2312" w:eastAsia="仿宋_GB2312"/>
              </w:rPr>
              <w:t>响应文件封面 产品技术参数表 分项报价表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拒绝政府采购领域商业贿赂承诺书</w:t>
            </w:r>
          </w:p>
        </w:tc>
        <w:tc>
          <w:tcPr>
            <w:tcW w:type="dxa" w:w="1661"/>
          </w:tcPr>
          <w:p>
            <w:pPr>
              <w:pStyle w:val="null3"/>
            </w:pPr>
            <w:r>
              <w:rPr>
                <w:rFonts w:ascii="仿宋_GB2312" w:hAnsi="仿宋_GB2312" w:cs="仿宋_GB2312" w:eastAsia="仿宋_GB2312"/>
              </w:rPr>
              <w:t>响应文件封面 拒绝政府采购领域商业贿赂承诺书</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分项报价表 中小企业声明函 残疾人福利性单位声明函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详见附件：供应商认为有必要补充说明的事宜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