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版本号：SDZC2026-02020260130001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2025年第一批省级农业专项资金（粮油绿色高效提单产）项目(三次)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SDZC2026-020</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2025年第一批省级农业专项资金（粮油绿色高效提单产）项目(三次)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2025年第一批省级农业专项资金（粮油绿色高效提单产）项目(三次)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小麦追肥用氮肥及油菜配方肥。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8、配方肥资质要求：配方肥提供生产厂家有效期内的肥料登记证或农业农村部登记备案证明</w:t>
      </w:r>
    </w:p>
    <w:p>
      <w:pPr>
        <w:pStyle w:val="null3"/>
      </w:pPr>
      <w:r>
        <w:rPr>
          <w:rFonts w:ascii="仿宋_GB2312" w:hAnsi="仿宋_GB2312" w:cs="仿宋_GB2312" w:eastAsia="仿宋_GB2312"/>
        </w:rPr>
        <w:t>9、氮肥资质要求：氮肥提供生产厂家全国工业产品生产许可证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15129569522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2.开户行：西安银行股份有限公司文景路支行 3.帐 号：707011510000013522 财务部联系方式：029-86673953、86518381、89299829、89293231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符合国家的标准和有关规定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小麦追肥用氮肥及油菜配方肥。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363,000.00</w:t>
      </w:r>
    </w:p>
    <w:p>
      <w:pPr>
        <w:pStyle w:val="null3"/>
      </w:pPr>
      <w:r>
        <w:rPr>
          <w:rFonts w:ascii="仿宋_GB2312" w:hAnsi="仿宋_GB2312" w:cs="仿宋_GB2312" w:eastAsia="仿宋_GB2312"/>
        </w:rPr>
        <w:t>采购包最高限价（元）: 363,000.00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1"/>
              <w:gridCol w:w="358"/>
              <w:gridCol w:w="367"/>
              <w:gridCol w:w="1655"/>
            </w:tblGrid>
            <w:tr>
              <w:tc>
                <w:tcPr>
                  <w:tcW w:type="dxa" w:w="1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肥料</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氮肥</w:t>
                  </w:r>
                </w:p>
                <w:p>
                  <w:pPr>
                    <w:pStyle w:val="null3"/>
                    <w:jc w:val="center"/>
                  </w:pPr>
                  <w:r>
                    <w:rPr>
                      <w:rFonts w:ascii="仿宋_GB2312" w:hAnsi="仿宋_GB2312" w:cs="仿宋_GB2312" w:eastAsia="仿宋_GB2312"/>
                      <w:sz w:val="24"/>
                    </w:rPr>
                    <w:t>（小麦）</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43</w:t>
                  </w:r>
                  <w:r>
                    <w:rPr>
                      <w:rFonts w:ascii="仿宋_GB2312" w:hAnsi="仿宋_GB2312" w:cs="仿宋_GB2312" w:eastAsia="仿宋_GB2312"/>
                      <w:sz w:val="24"/>
                    </w:rPr>
                    <w:t>吨</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总氮含量</w:t>
                  </w:r>
                  <w:r>
                    <w:rPr>
                      <w:rFonts w:ascii="仿宋_GB2312" w:hAnsi="仿宋_GB2312" w:cs="仿宋_GB2312" w:eastAsia="仿宋_GB2312"/>
                      <w:sz w:val="24"/>
                    </w:rPr>
                    <w:t>≥</w:t>
                  </w:r>
                  <w:r>
                    <w:rPr>
                      <w:rFonts w:ascii="仿宋_GB2312" w:hAnsi="仿宋_GB2312" w:cs="仿宋_GB2312" w:eastAsia="仿宋_GB2312"/>
                      <w:sz w:val="24"/>
                    </w:rPr>
                    <w:t>46%</w:t>
                  </w:r>
                  <w:r>
                    <w:rPr>
                      <w:rFonts w:ascii="仿宋_GB2312" w:hAnsi="仿宋_GB2312" w:cs="仿宋_GB2312" w:eastAsia="仿宋_GB2312"/>
                      <w:sz w:val="24"/>
                    </w:rPr>
                    <w:t>，粒度范围：</w:t>
                  </w:r>
                  <w:r>
                    <w:rPr>
                      <w:rFonts w:ascii="仿宋_GB2312" w:hAnsi="仿宋_GB2312" w:cs="仿宋_GB2312" w:eastAsia="仿宋_GB2312"/>
                      <w:sz w:val="24"/>
                    </w:rPr>
                    <w:t>d0.85mm-2.80mm</w:t>
                  </w:r>
                  <w:r>
                    <w:rPr>
                      <w:rFonts w:ascii="仿宋_GB2312" w:hAnsi="仿宋_GB2312" w:cs="仿宋_GB2312" w:eastAsia="仿宋_GB2312"/>
                      <w:sz w:val="24"/>
                    </w:rPr>
                    <w:t>，</w:t>
                  </w:r>
                  <w:r>
                    <w:rPr>
                      <w:rFonts w:ascii="仿宋_GB2312" w:hAnsi="仿宋_GB2312" w:cs="仿宋_GB2312" w:eastAsia="仿宋_GB2312"/>
                      <w:sz w:val="24"/>
                    </w:rPr>
                    <w:t>包装</w:t>
                  </w:r>
                  <w:r>
                    <w:rPr>
                      <w:rFonts w:ascii="仿宋_GB2312" w:hAnsi="仿宋_GB2312" w:cs="仿宋_GB2312" w:eastAsia="仿宋_GB2312"/>
                      <w:sz w:val="24"/>
                    </w:rPr>
                    <w:t>50</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袋，</w:t>
                  </w:r>
                  <w:r>
                    <w:rPr>
                      <w:rFonts w:ascii="仿宋_GB2312" w:hAnsi="仿宋_GB2312" w:cs="仿宋_GB2312" w:eastAsia="仿宋_GB2312"/>
                      <w:sz w:val="24"/>
                    </w:rPr>
                    <w:t>执行标准</w:t>
                  </w:r>
                  <w:r>
                    <w:rPr>
                      <w:rFonts w:ascii="仿宋_GB2312" w:hAnsi="仿宋_GB2312" w:cs="仿宋_GB2312" w:eastAsia="仿宋_GB2312"/>
                      <w:sz w:val="24"/>
                    </w:rPr>
                    <w:t>GB/T 2440-2017</w:t>
                  </w:r>
                  <w:r>
                    <w:rPr>
                      <w:rFonts w:ascii="仿宋_GB2312" w:hAnsi="仿宋_GB2312" w:cs="仿宋_GB2312" w:eastAsia="仿宋_GB2312"/>
                      <w:sz w:val="24"/>
                    </w:rPr>
                    <w:t>。</w:t>
                  </w:r>
                </w:p>
              </w:tc>
            </w:tr>
            <w:tr>
              <w:tc>
                <w:tcPr>
                  <w:tcW w:type="dxa" w:w="161"/>
                  <w:vMerge/>
                  <w:tcBorders>
                    <w:top w:val="singl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配方肥（核心产品）</w:t>
                  </w:r>
                </w:p>
                <w:p>
                  <w:pPr>
                    <w:pStyle w:val="null3"/>
                    <w:jc w:val="center"/>
                  </w:pPr>
                  <w:r>
                    <w:rPr>
                      <w:rFonts w:ascii="仿宋_GB2312" w:hAnsi="仿宋_GB2312" w:cs="仿宋_GB2312" w:eastAsia="仿宋_GB2312"/>
                      <w:sz w:val="24"/>
                    </w:rPr>
                    <w:t>（油菜）</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吨</w:t>
                  </w:r>
                  <w:r>
                    <w:rPr>
                      <w:rFonts w:ascii="仿宋_GB2312" w:hAnsi="仿宋_GB2312" w:cs="仿宋_GB2312" w:eastAsia="仿宋_GB2312"/>
                      <w:sz w:val="21"/>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总养分</w:t>
                  </w:r>
                  <w:r>
                    <w:rPr>
                      <w:rFonts w:ascii="仿宋_GB2312" w:hAnsi="仿宋_GB2312" w:cs="仿宋_GB2312" w:eastAsia="仿宋_GB2312"/>
                      <w:sz w:val="24"/>
                    </w:rPr>
                    <w:t>≥</w:t>
                  </w:r>
                  <w:r>
                    <w:rPr>
                      <w:rFonts w:ascii="仿宋_GB2312" w:hAnsi="仿宋_GB2312" w:cs="仿宋_GB2312" w:eastAsia="仿宋_GB2312"/>
                      <w:sz w:val="24"/>
                    </w:rPr>
                    <w:t>40.0%</w:t>
                  </w:r>
                  <w:r>
                    <w:rPr>
                      <w:rFonts w:ascii="仿宋_GB2312" w:hAnsi="仿宋_GB2312" w:cs="仿宋_GB2312" w:eastAsia="仿宋_GB2312"/>
                      <w:sz w:val="24"/>
                    </w:rPr>
                    <w:t>，</w:t>
                  </w:r>
                  <w:r>
                    <w:rPr>
                      <w:rFonts w:ascii="仿宋_GB2312" w:hAnsi="仿宋_GB2312" w:cs="仿宋_GB2312" w:eastAsia="仿宋_GB2312"/>
                      <w:sz w:val="24"/>
                    </w:rPr>
                    <w:t>N</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P</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K</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；包装</w:t>
                  </w:r>
                  <w:r>
                    <w:rPr>
                      <w:rFonts w:ascii="仿宋_GB2312" w:hAnsi="仿宋_GB2312" w:cs="仿宋_GB2312" w:eastAsia="仿宋_GB2312"/>
                      <w:sz w:val="24"/>
                    </w:rPr>
                    <w:t>40</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袋，执行标准</w:t>
                  </w:r>
                  <w:r>
                    <w:rPr>
                      <w:rFonts w:ascii="仿宋_GB2312" w:hAnsi="仿宋_GB2312" w:cs="仿宋_GB2312" w:eastAsia="仿宋_GB2312"/>
                      <w:sz w:val="24"/>
                    </w:rPr>
                    <w:t>GB/T 15063-2020</w:t>
                  </w:r>
                  <w:r>
                    <w:rPr>
                      <w:rFonts w:ascii="仿宋_GB2312" w:hAnsi="仿宋_GB2312" w:cs="仿宋_GB2312" w:eastAsia="仿宋_GB2312"/>
                      <w:sz w:val="24"/>
                    </w:rPr>
                    <w:t>。</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注：技术参数与性能指标为实质性响应内容，不得负偏离。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氮肥交货期：2026年3月05日前，油菜配方肥2026年9月10前。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蓝田县白鹿塬（具体由蓝田县农业技术推广中心指定）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条属于符合性及商务要求，必须提供，未提供或提供不全的，均为无效响应，属于废标条款。提供所投肥料的合法来源渠道证明文件（包括但不限于原厂授权、代理协议、销售协议等）；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配方肥资质要求</w:t>
            </w:r>
          </w:p>
        </w:tc>
        <w:tc>
          <w:tcPr>
            <w:tcW w:type="dxa" w:w="3322"/>
          </w:tcPr>
          <w:p>
            <w:pPr>
              <w:pStyle w:val="null3"/>
            </w:pPr>
            <w:r>
              <w:rPr>
                <w:rFonts w:ascii="仿宋_GB2312" w:hAnsi="仿宋_GB2312" w:cs="仿宋_GB2312" w:eastAsia="仿宋_GB2312"/>
              </w:rPr>
              <w:t>配方肥提供生产厂家有效期内的肥料登记证或农业农村部登记备案证明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氮肥资质要求</w:t>
            </w:r>
          </w:p>
        </w:tc>
        <w:tc>
          <w:tcPr>
            <w:tcW w:type="dxa" w:w="3322"/>
          </w:tcPr>
          <w:p>
            <w:pPr>
              <w:pStyle w:val="null3"/>
            </w:pPr>
            <w:r>
              <w:rPr>
                <w:rFonts w:ascii="仿宋_GB2312" w:hAnsi="仿宋_GB2312" w:cs="仿宋_GB2312" w:eastAsia="仿宋_GB2312"/>
              </w:rPr>
              <w:t>氮肥提供生产厂家全国工业产品生产许可证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谈判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授权委托书.docx 中小企业声明函 分项报价.docx 商务条款响应偏离表.docx 响应文件封面 技术规格响应偏离表.docx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谈判响应文件未有采购人不能接受的附加条件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产品的合法渠道证明文件.docx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