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版本号：WXGL-SC-202600320260106001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蓝田县土地超市“四图一表”编制项目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WXGL-SC-2026003</w:t>
      </w:r>
      <w:r>
        <w:br/>
      </w:r>
      <w:r>
        <w:br/>
      </w:r>
      <w:r>
        <w:br/>
      </w:r>
    </w:p>
    <w:p>
      <w:pPr>
        <w:pStyle w:val="null3"/>
        <w:jc w:val="center"/>
        <w:outlineLvl w:val="2"/>
      </w:pPr>
      <w:r>
        <w:rPr>
          <w:rFonts w:ascii="仿宋_GB2312" w:hAnsi="仿宋_GB2312" w:cs="仿宋_GB2312" w:eastAsia="仿宋_GB2312"/>
          <w:sz w:val="28"/>
          <w:b/>
        </w:rPr>
        <w:t>蓝田县自然资源和规划局</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蓝田县自然资源和规划局</w:t>
      </w:r>
      <w:r>
        <w:rPr>
          <w:rFonts w:ascii="仿宋_GB2312" w:hAnsi="仿宋_GB2312" w:cs="仿宋_GB2312" w:eastAsia="仿宋_GB2312"/>
        </w:rPr>
        <w:t>委托，拟对</w:t>
      </w:r>
      <w:r>
        <w:rPr>
          <w:rFonts w:ascii="仿宋_GB2312" w:hAnsi="仿宋_GB2312" w:cs="仿宋_GB2312" w:eastAsia="仿宋_GB2312"/>
        </w:rPr>
        <w:t>蓝田县土地超市“四图一表”编制项目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WXGL-SC-2026003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蓝田县土地超市“四图一表”编制项目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我县重点发展区家具产业片区经市局审定拟纳入全市土地超市中，为加强国土空间详细规划、实施详细规划、宗地周边范围详细情况，现开展我县土地超市“四图一表”编制项目的采购工作。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采购包1（蓝田县土地超市“四图一表”编制项目）：属于专门面向中小企业采购。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文件：提供合格有效的法人或者其他组织的营业执照等证明文件，自然人的身份证明；投标人是法人或其他组织的应提供营业执照等证明文件，投标人是自然人的应提供有效的自然人身份证明（提供加盖单位公章附在投标文件中）</w:t>
      </w:r>
    </w:p>
    <w:p>
      <w:pPr>
        <w:pStyle w:val="null3"/>
      </w:pPr>
      <w:r>
        <w:rPr>
          <w:rFonts w:ascii="仿宋_GB2312" w:hAnsi="仿宋_GB2312" w:cs="仿宋_GB2312" w:eastAsia="仿宋_GB2312"/>
        </w:rPr>
        <w:t>2、税收缴纳证明：提供投标截止日前一年内已缴纳的至少一个月的纳税证明或完税证明，依法免税的单位应提供相关证明材料；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3、社会保障资金缴纳证明：提供投标截止日前一年内已缴存的至少一个月的社会保障资金缴存单据或社保机构开具的社会保险参保缴费情况证明，依法不需要缴纳社会保障资金的单位应提供相关证明材料；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4、履行合同所必需的设备和专业技术能力的承诺：提供具有履行合同所必需的设备和专业技术能力的承诺；</w:t>
      </w:r>
    </w:p>
    <w:p>
      <w:pPr>
        <w:pStyle w:val="null3"/>
      </w:pPr>
      <w:r>
        <w:rPr>
          <w:rFonts w:ascii="仿宋_GB2312" w:hAnsi="仿宋_GB2312" w:cs="仿宋_GB2312" w:eastAsia="仿宋_GB2312"/>
        </w:rPr>
        <w:t>5、三年内无重大违法记录的书面声明：参加政府采购活动前3年内，在经营活动中没有重大违法记录的书面声明；</w:t>
      </w:r>
    </w:p>
    <w:p>
      <w:pPr>
        <w:pStyle w:val="null3"/>
      </w:pPr>
      <w:r>
        <w:rPr>
          <w:rFonts w:ascii="仿宋_GB2312" w:hAnsi="仿宋_GB2312" w:cs="仿宋_GB2312" w:eastAsia="仿宋_GB2312"/>
        </w:rPr>
        <w:t>6、信誉要求：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7、法定代表人授权书：法定代表人授权书（法定代表人直接参加投标，须提供法定代表人身份证明）；（供应商应授权合法的人员参加投标全过程，提供该人员缴纳社保记录证明，新办企业及新录用人员除外）</w:t>
      </w:r>
    </w:p>
    <w:p>
      <w:pPr>
        <w:pStyle w:val="null3"/>
      </w:pPr>
      <w:r>
        <w:rPr>
          <w:rFonts w:ascii="仿宋_GB2312" w:hAnsi="仿宋_GB2312" w:cs="仿宋_GB2312" w:eastAsia="仿宋_GB2312"/>
        </w:rPr>
        <w:t>8、资质要求：投标供应商需具有行业主管部门颁发的城乡规划编制乙级及以上资质（含乙级）；</w:t>
      </w:r>
    </w:p>
    <w:p>
      <w:pPr>
        <w:pStyle w:val="null3"/>
      </w:pPr>
      <w:r>
        <w:rPr>
          <w:rFonts w:ascii="仿宋_GB2312" w:hAnsi="仿宋_GB2312" w:cs="仿宋_GB2312" w:eastAsia="仿宋_GB2312"/>
        </w:rPr>
        <w:t>9、本项目不接受联合体磋商：本项目不接受联合体磋商，单位负责人为同一人或者存在直接控股、管理关系的不同供应商，不得参加同一合同项下的政府采购活动（提供书面声明）。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029-82730206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18700701771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代理服务费收费标准：招标代理服务费收取参考国家计委颁布的《招标代理服务收费管理暂行办法》（计价格[2002]1980号）和（发改办价格[2003]857号）文收费标准计取。 不足5000.00元按5000.00元收取。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蓝田县自然资源和规划局</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以后续签订合同规定内容为准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w:t>
      </w:r>
    </w:p>
    <w:p>
      <w:pPr>
        <w:pStyle w:val="null3"/>
      </w:pPr>
      <w:r>
        <w:rPr>
          <w:rFonts w:ascii="仿宋_GB2312" w:hAnsi="仿宋_GB2312" w:cs="仿宋_GB2312" w:eastAsia="仿宋_GB2312"/>
        </w:rPr>
        <w:t>联系电话：18700701771</w:t>
      </w:r>
    </w:p>
    <w:p>
      <w:pPr>
        <w:pStyle w:val="null3"/>
      </w:pPr>
      <w:r>
        <w:rPr>
          <w:rFonts w:ascii="仿宋_GB2312" w:hAnsi="仿宋_GB2312" w:cs="仿宋_GB2312" w:eastAsia="仿宋_GB2312"/>
        </w:rPr>
        <w:t>地址：陕西省西安市高新区科技七路15号宝天大厦1401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我县重点发展区家具产业片区经市局审定拟纳入全市土地超市中，为加强国土空间详细规划、实施详细规划、宗地周边范围详细情况，现开展我县土地超市“四图一表”编制项目的采购工作。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w:t>
      </w:r>
    </w:p>
    <w:p>
      <w:pPr>
        <w:pStyle w:val="null3"/>
      </w:pPr>
      <w:r>
        <w:rPr>
          <w:rFonts w:ascii="仿宋_GB2312" w:hAnsi="仿宋_GB2312" w:cs="仿宋_GB2312" w:eastAsia="仿宋_GB2312"/>
        </w:rPr>
        <w:t>采购包最高限价（元）: 355,000.00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一、项目概况  </w:t>
            </w:r>
          </w:p>
          <w:p>
            <w:pPr>
              <w:pStyle w:val="null3"/>
            </w:pPr>
            <w:r>
              <w:rPr>
                <w:rFonts w:ascii="仿宋_GB2312" w:hAnsi="仿宋_GB2312" w:cs="仿宋_GB2312" w:eastAsia="仿宋_GB2312"/>
                <w:sz w:val="21"/>
              </w:rPr>
              <w:t>我县重点发展区家具产业片区经市局审定拟纳入全市土地超市中，为加强国土空间详细规划、实施详细规划、宗地周边范围详细情况，现开展我县土地超市“四图一表”编制项目的采购工作，详见后续采购文件。</w:t>
            </w:r>
          </w:p>
          <w:p>
            <w:pPr>
              <w:pStyle w:val="null3"/>
            </w:pPr>
            <w:r>
              <w:rPr>
                <w:rFonts w:ascii="仿宋_GB2312" w:hAnsi="仿宋_GB2312" w:cs="仿宋_GB2312" w:eastAsia="仿宋_GB2312"/>
                <w:sz w:val="21"/>
              </w:rPr>
              <w:t>二、采购内容（包括工作区域、工作内容等）</w:t>
            </w:r>
          </w:p>
          <w:p>
            <w:pPr>
              <w:pStyle w:val="null3"/>
            </w:pPr>
            <w:r>
              <w:rPr>
                <w:rFonts w:ascii="仿宋_GB2312" w:hAnsi="仿宋_GB2312" w:cs="仿宋_GB2312" w:eastAsia="仿宋_GB2312"/>
                <w:sz w:val="21"/>
              </w:rPr>
              <w:t>1.项目名称：蓝田县土地超市“四图一表”编制项目。</w:t>
            </w:r>
          </w:p>
          <w:p>
            <w:pPr>
              <w:pStyle w:val="null3"/>
            </w:pPr>
            <w:r>
              <w:rPr>
                <w:rFonts w:ascii="仿宋_GB2312" w:hAnsi="仿宋_GB2312" w:cs="仿宋_GB2312" w:eastAsia="仿宋_GB2312"/>
                <w:sz w:val="21"/>
              </w:rPr>
              <w:t xml:space="preserve">  2.采购内容：衔接国土空间详细规划，梳理片区土地利用现状，挖掘现状土地资源，编制“土地超市”宣介材料。</w:t>
            </w:r>
          </w:p>
          <w:p>
            <w:pPr>
              <w:pStyle w:val="null3"/>
            </w:pPr>
            <w:r>
              <w:rPr>
                <w:rFonts w:ascii="仿宋_GB2312" w:hAnsi="仿宋_GB2312" w:cs="仿宋_GB2312" w:eastAsia="仿宋_GB2312"/>
                <w:sz w:val="21"/>
              </w:rPr>
              <w:t xml:space="preserve">三、技术要求  </w:t>
            </w:r>
          </w:p>
          <w:p>
            <w:pPr>
              <w:pStyle w:val="null3"/>
            </w:pPr>
            <w:r>
              <w:rPr>
                <w:rFonts w:ascii="仿宋_GB2312" w:hAnsi="仿宋_GB2312" w:cs="仿宋_GB2312" w:eastAsia="仿宋_GB2312"/>
                <w:sz w:val="21"/>
              </w:rPr>
              <w:t>要求作业单位具有相关专业资质，有关矢量数据转换、录入等工作经验，符合其他相关政府采购法律法规要求。在合同约定时间内完成相关工作任务，并确保通过相关要求。</w:t>
            </w:r>
          </w:p>
          <w:p>
            <w:pPr>
              <w:pStyle w:val="null3"/>
            </w:pPr>
            <w:r>
              <w:rPr>
                <w:rFonts w:ascii="仿宋_GB2312" w:hAnsi="仿宋_GB2312" w:cs="仿宋_GB2312" w:eastAsia="仿宋_GB2312"/>
                <w:sz w:val="21"/>
              </w:rPr>
              <w:t xml:space="preserve">四、服务要求  </w:t>
            </w:r>
          </w:p>
          <w:p>
            <w:pPr>
              <w:pStyle w:val="null3"/>
            </w:pPr>
            <w:r>
              <w:rPr>
                <w:rFonts w:ascii="仿宋_GB2312" w:hAnsi="仿宋_GB2312" w:cs="仿宋_GB2312" w:eastAsia="仿宋_GB2312"/>
                <w:sz w:val="21"/>
              </w:rPr>
              <w:t>1、服务方需详细审核并认可采购文件的全部内容，完全知道必须放弃提出含糊不清或误解的权力。</w:t>
            </w:r>
          </w:p>
          <w:p>
            <w:pPr>
              <w:pStyle w:val="null3"/>
            </w:pPr>
            <w:r>
              <w:rPr>
                <w:rFonts w:ascii="仿宋_GB2312" w:hAnsi="仿宋_GB2312" w:cs="仿宋_GB2312" w:eastAsia="仿宋_GB2312"/>
                <w:sz w:val="21"/>
              </w:rPr>
              <w:t>2、服务方中标后按照采购单位拟定的合同格式与采购单位签订合同，并按照投标承诺的收费标准，收取项目总费。</w:t>
            </w:r>
          </w:p>
          <w:p>
            <w:pPr>
              <w:pStyle w:val="null3"/>
            </w:pPr>
            <w:r>
              <w:rPr>
                <w:rFonts w:ascii="仿宋_GB2312" w:hAnsi="仿宋_GB2312" w:cs="仿宋_GB2312" w:eastAsia="仿宋_GB2312"/>
                <w:sz w:val="21"/>
              </w:rPr>
              <w:t>3、服务方提交《项目组成员名单及基本情况表》，并确保这些人员全程参与资料收集、座谈会、汇报会、评审会各个环节。</w:t>
            </w:r>
          </w:p>
          <w:p>
            <w:pPr>
              <w:pStyle w:val="null3"/>
            </w:pPr>
            <w:r>
              <w:rPr>
                <w:rFonts w:ascii="仿宋_GB2312" w:hAnsi="仿宋_GB2312" w:cs="仿宋_GB2312" w:eastAsia="仿宋_GB2312"/>
                <w:sz w:val="21"/>
              </w:rPr>
              <w:t>4、针对本规划实行整体过程的跟踪配合服务。从要求的规划投标开始，至规划中标全过程，包括到各阶段的工作内容、服务质量、规范标准、阶段性成果等，为保证按期保质完成规划工作，合理调剂参与该项目设计专业人员的现阶段工作，确保设计人员有足够时间完成本项目设计工作。各专业人员将在项目负责人的统一协调下，在公司技术负责人、项目负责人、专业负责人的指导下精心设计，如期完成。</w:t>
            </w:r>
          </w:p>
          <w:p>
            <w:pPr>
              <w:pStyle w:val="null3"/>
            </w:pPr>
            <w:r>
              <w:rPr>
                <w:rFonts w:ascii="仿宋_GB2312" w:hAnsi="仿宋_GB2312" w:cs="仿宋_GB2312" w:eastAsia="仿宋_GB2312"/>
                <w:sz w:val="21"/>
              </w:rPr>
              <w:t>5、服务方保证严格执行有关法律、法规、规章、规范性文件的规定，决不挂靠、转包、违法分包。</w:t>
            </w:r>
          </w:p>
          <w:p>
            <w:pPr>
              <w:pStyle w:val="null3"/>
            </w:pPr>
            <w:r>
              <w:rPr>
                <w:rFonts w:ascii="仿宋_GB2312" w:hAnsi="仿宋_GB2312" w:cs="仿宋_GB2312" w:eastAsia="仿宋_GB2312"/>
                <w:sz w:val="21"/>
              </w:rPr>
              <w:t>6.按照中省市文件要求，开展本项目采购内容的编制，时间紧、任务重，为确保高质量完成编制工作，遴选有丰富经验且拥有相应资质的专业机构，严格按照相关要求进行本次项目的编制。</w:t>
            </w:r>
          </w:p>
          <w:p>
            <w:pPr>
              <w:pStyle w:val="null3"/>
            </w:pPr>
            <w:r>
              <w:rPr>
                <w:rFonts w:ascii="仿宋_GB2312" w:hAnsi="仿宋_GB2312" w:cs="仿宋_GB2312" w:eastAsia="仿宋_GB2312"/>
                <w:sz w:val="21"/>
              </w:rPr>
              <w:t>五、商务要求 （如服务期限、款项结算等）</w:t>
            </w:r>
          </w:p>
          <w:p>
            <w:pPr>
              <w:pStyle w:val="null3"/>
              <w:jc w:val="left"/>
              <w:outlineLvl w:val="2"/>
            </w:pPr>
            <w:r>
              <w:rPr>
                <w:rFonts w:ascii="仿宋_GB2312" w:hAnsi="仿宋_GB2312" w:cs="仿宋_GB2312" w:eastAsia="仿宋_GB2312"/>
                <w:sz w:val="21"/>
                <w:b/>
              </w:rPr>
              <w:t>（一）服务期限</w:t>
            </w:r>
          </w:p>
          <w:p>
            <w:pPr>
              <w:pStyle w:val="null3"/>
              <w:ind w:firstLine="567"/>
            </w:pPr>
            <w:r>
              <w:rPr>
                <w:rFonts w:ascii="仿宋_GB2312" w:hAnsi="仿宋_GB2312" w:cs="仿宋_GB2312" w:eastAsia="仿宋_GB2312"/>
                <w:sz w:val="21"/>
              </w:rPr>
              <w:t>自合同签订之日起至提交编制项目成果时止。</w:t>
            </w:r>
          </w:p>
          <w:p>
            <w:pPr>
              <w:pStyle w:val="null3"/>
              <w:jc w:val="left"/>
              <w:outlineLvl w:val="2"/>
            </w:pPr>
            <w:r>
              <w:rPr>
                <w:rFonts w:ascii="仿宋_GB2312" w:hAnsi="仿宋_GB2312" w:cs="仿宋_GB2312" w:eastAsia="仿宋_GB2312"/>
                <w:sz w:val="21"/>
                <w:b/>
              </w:rPr>
              <w:t>（二）款项结算</w:t>
            </w:r>
          </w:p>
          <w:p>
            <w:pPr>
              <w:pStyle w:val="null3"/>
            </w:pPr>
            <w:r>
              <w:rPr>
                <w:rFonts w:ascii="仿宋_GB2312" w:hAnsi="仿宋_GB2312" w:cs="仿宋_GB2312" w:eastAsia="仿宋_GB2312"/>
                <w:sz w:val="21"/>
              </w:rPr>
              <w:t>①自本合同签订后，甲方向乙方支付合同总费用的50%；②按照相关标准形成并提交成果文件，通过西安市政府常务会审批通过后，甲方向乙方支付合同总费用的50%。</w:t>
            </w:r>
          </w:p>
          <w:p>
            <w:pPr>
              <w:pStyle w:val="null3"/>
            </w:pPr>
            <w:r>
              <w:rPr>
                <w:rFonts w:ascii="仿宋_GB2312" w:hAnsi="仿宋_GB2312" w:cs="仿宋_GB2312" w:eastAsia="仿宋_GB2312"/>
                <w:sz w:val="21"/>
              </w:rPr>
              <w:t>六、其他（如有要求，请写明）</w:t>
            </w:r>
          </w:p>
          <w:p>
            <w:pPr>
              <w:pStyle w:val="null3"/>
              <w:jc w:val="left"/>
              <w:outlineLvl w:val="2"/>
            </w:pPr>
            <w:r>
              <w:rPr>
                <w:rFonts w:ascii="仿宋_GB2312" w:hAnsi="仿宋_GB2312" w:cs="仿宋_GB2312" w:eastAsia="仿宋_GB2312"/>
                <w:sz w:val="21"/>
                <w:b/>
              </w:rPr>
              <w:t>（一）质量验收标准或规范</w:t>
            </w:r>
          </w:p>
          <w:p>
            <w:pPr>
              <w:pStyle w:val="null3"/>
              <w:ind w:firstLine="480"/>
            </w:pPr>
            <w:r>
              <w:rPr>
                <w:rFonts w:ascii="仿宋_GB2312" w:hAnsi="仿宋_GB2312" w:cs="仿宋_GB2312" w:eastAsia="仿宋_GB2312"/>
                <w:sz w:val="21"/>
              </w:rPr>
              <w:t>达到国家、省市有关技术标准、规范规定，质量合格。</w:t>
            </w:r>
          </w:p>
          <w:p>
            <w:pPr>
              <w:pStyle w:val="null3"/>
              <w:jc w:val="left"/>
              <w:outlineLvl w:val="2"/>
            </w:pPr>
            <w:r>
              <w:rPr>
                <w:rFonts w:ascii="仿宋_GB2312" w:hAnsi="仿宋_GB2312" w:cs="仿宋_GB2312" w:eastAsia="仿宋_GB2312"/>
                <w:sz w:val="21"/>
                <w:b/>
              </w:rPr>
              <w:t>（二）违约责任</w:t>
            </w:r>
          </w:p>
          <w:p>
            <w:pPr>
              <w:pStyle w:val="null3"/>
              <w:ind w:firstLine="567"/>
            </w:pPr>
            <w:r>
              <w:rPr>
                <w:rFonts w:ascii="仿宋_GB2312" w:hAnsi="仿宋_GB2312" w:cs="仿宋_GB2312" w:eastAsia="仿宋_GB2312"/>
                <w:sz w:val="21"/>
              </w:rPr>
              <w:t>1、按《中华人民共和国民法典》中的相关条款执行。</w:t>
            </w:r>
          </w:p>
          <w:p>
            <w:pPr>
              <w:pStyle w:val="null3"/>
              <w:ind w:firstLine="567"/>
            </w:pPr>
            <w:r>
              <w:rPr>
                <w:rFonts w:ascii="仿宋_GB2312" w:hAnsi="仿宋_GB2312" w:cs="仿宋_GB2312" w:eastAsia="仿宋_GB2312"/>
                <w:sz w:val="21"/>
              </w:rPr>
              <w:t>2、未按合同要求提供服务质量不能满足采购要求的，甲方会同相关单位，有权终止合同和对成交单位违约进行追究。</w:t>
            </w:r>
          </w:p>
          <w:p>
            <w:pPr>
              <w:pStyle w:val="null3"/>
              <w:ind w:firstLine="567"/>
            </w:pPr>
            <w:r>
              <w:rPr>
                <w:rFonts w:ascii="仿宋_GB2312" w:hAnsi="仿宋_GB2312" w:cs="仿宋_GB2312" w:eastAsia="仿宋_GB2312"/>
                <w:sz w:val="21"/>
              </w:rPr>
              <w:t>3、甲方变更委托设计项目、规模、条件或因提交资料的错误，或所提交的资料做重大修改，以至造成乙方设计返工时双方除需另行协商补充协议、重新明确有关条款外，还需根据所耗工作量增付设计费。</w:t>
            </w:r>
          </w:p>
          <w:p>
            <w:pPr>
              <w:pStyle w:val="null3"/>
              <w:ind w:firstLine="567"/>
            </w:pPr>
            <w:r>
              <w:rPr>
                <w:rFonts w:ascii="仿宋_GB2312" w:hAnsi="仿宋_GB2312" w:cs="仿宋_GB2312" w:eastAsia="仿宋_GB2312"/>
                <w:sz w:val="21"/>
              </w:rPr>
              <w:t>4、甲方协助乙方人员在现场期间调研等事宜。</w:t>
            </w:r>
          </w:p>
          <w:p>
            <w:pPr>
              <w:pStyle w:val="null3"/>
              <w:ind w:firstLine="567"/>
            </w:pPr>
            <w:r>
              <w:rPr>
                <w:rFonts w:ascii="仿宋_GB2312" w:hAnsi="仿宋_GB2312" w:cs="仿宋_GB2312" w:eastAsia="仿宋_GB2312"/>
                <w:sz w:val="21"/>
              </w:rPr>
              <w:t>5、甲方应按合同规定时间和金额向乙方支付设计费。每逾期一天，应承担应付而未付金额千分之二的逾期违约金。</w:t>
            </w:r>
          </w:p>
          <w:p>
            <w:pPr>
              <w:pStyle w:val="null3"/>
              <w:ind w:firstLine="567"/>
            </w:pPr>
            <w:r>
              <w:rPr>
                <w:rFonts w:ascii="仿宋_GB2312" w:hAnsi="仿宋_GB2312" w:cs="仿宋_GB2312" w:eastAsia="仿宋_GB2312"/>
                <w:sz w:val="21"/>
              </w:rPr>
              <w:t>6、若乙方由于自身原因要求终止或解除合同，应双倍返还定金。</w:t>
            </w:r>
          </w:p>
          <w:p>
            <w:pPr>
              <w:pStyle w:val="null3"/>
              <w:ind w:firstLine="567"/>
            </w:pPr>
            <w:r>
              <w:rPr>
                <w:rFonts w:ascii="仿宋_GB2312" w:hAnsi="仿宋_GB2312" w:cs="仿宋_GB2312" w:eastAsia="仿宋_GB2312"/>
                <w:sz w:val="21"/>
              </w:rPr>
              <w:t>7、若乙方未能按照合同时间完成设计内容，每逾期一天，应承担已付金额千分之二的逾期违约金。</w:t>
            </w:r>
          </w:p>
          <w:p>
            <w:pPr>
              <w:pStyle w:val="null3"/>
              <w:ind w:firstLine="567"/>
            </w:pPr>
            <w:r>
              <w:rPr>
                <w:rFonts w:ascii="仿宋_GB2312" w:hAnsi="仿宋_GB2312" w:cs="仿宋_GB2312" w:eastAsia="仿宋_GB2312"/>
                <w:sz w:val="21"/>
              </w:rPr>
              <w:t>8、乙方方案与甲方要求有矛盾时，乙方需根据国家及地方有关规划设计规范和规划主管部门的意见进行修改。</w:t>
            </w:r>
          </w:p>
          <w:p>
            <w:pPr>
              <w:pStyle w:val="null3"/>
              <w:ind w:firstLine="567"/>
            </w:pPr>
            <w:r>
              <w:rPr>
                <w:rFonts w:ascii="仿宋_GB2312" w:hAnsi="仿宋_GB2312" w:cs="仿宋_GB2312" w:eastAsia="仿宋_GB2312"/>
                <w:sz w:val="21"/>
              </w:rPr>
              <w:t>9、甲方要求终止或解除合同，未开始设计工作的，乙方不返还定金；若乙方已经完成方案设计的50%以上工作量时，乙方不返还方案设计费。</w:t>
            </w:r>
          </w:p>
          <w:p>
            <w:pPr>
              <w:pStyle w:val="null3"/>
              <w:ind w:firstLine="480"/>
            </w:pPr>
            <w:r>
              <w:rPr>
                <w:rFonts w:ascii="仿宋_GB2312" w:hAnsi="仿宋_GB2312" w:cs="仿宋_GB2312" w:eastAsia="仿宋_GB2312"/>
                <w:sz w:val="21"/>
              </w:rPr>
              <w:t>10、乙方不得将甲方的设计方案及成果转让第三方。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依据本项目相关批示与资料包括但不限于采购文件、合同等，服务过程与最终成果满足采购人采购需求。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自合同签订之日起至提交项目成果时止。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有关技术标准、规范规定，质量合格。成果文件由规划文本、规划图纸、规划说明、规划附件等相关资料组成。成果文件包括纸质版和电子版。成果文件的表达应清晰、规范，符合相关行业的技术标准和规范。 成果文件份数按甲方具体要求提供。</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按照相关标准形成并提交成果文件，通过西安市政府常务会审批通过后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2、未按合同要求提供服务质量不能满足采购要求的，甲方会同相关单位，有权终止合同和对成交单位违约进行追究。 3、甲方变更委托设计项目、规模、条件或因提交资料的错误，或所提交的资料做重大修改，以至造成乙方设计返工时双方除需另行协商补充协议、重新明确有关条款外，还需根据所耗工作量增付设计费。 4、甲方协助乙方人员在现场期间调研等事宜。 5、甲方应按合同规定时间和金额向乙方支付设计费。每逾期一天，应承担应付而未付金额千分之二的逾期违约金。 6、若乙方由于自身原因要求终止或解除合同，应双倍返还定金。 7、若乙方未能按照合同时间完成设计内容，每逾期一天，应承担已付金额千分之二的逾期违约金。 8、乙方方案与甲方要求有矛盾时，乙方需根据国家及地方有关规划设计规范和规划主管部门的意见进行修改。 9、甲方要求终止或解除合同，未开始设计工作的，乙方不返还定金；若乙方已经完成方案设计的50%以上工作量时，乙方不返还方案设计费。 10、乙方不得将甲方的设计方案及成果转让第三方。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提供加盖单位公章附在投标文件中）</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法定代表人授权书（法定代表人直接参加投标，须提供法定代表人身份证明）；（供应商应授权合法的人员参加投标全过程，提供该人员缴纳社保记录证明，新办企业及新录用人员除外）</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投标供应商需具有行业主管部门颁发的城乡规划编制乙级及以上资质（含乙级）；</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未超过最高限价，无选择性报价，否则按无效报价处理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土地资源现状梳理</w:t>
            </w:r>
          </w:p>
        </w:tc>
        <w:tc>
          <w:tcPr>
            <w:tcW w:type="dxa" w:w="2492"/>
          </w:tcPr>
          <w:p>
            <w:pPr>
              <w:pStyle w:val="null3"/>
            </w:pPr>
            <w:r>
              <w:rPr>
                <w:rFonts w:ascii="仿宋_GB2312" w:hAnsi="仿宋_GB2312" w:cs="仿宋_GB2312" w:eastAsia="仿宋_GB2312"/>
              </w:rPr>
              <w:t>内容至少包括①对区域概况及价值进行梳理，②对土地利用现状情况进行盘点； 评审标准：1、完整性：内容全面，对评审内容中的各项要求有详细描述。2、合理性：对区域价值把握准确，能够紧扣项目发展实际，内容科学合理。3、准确性：切合基地项目现状实际，土地利用情况梳理清晰。 每完全满足一个评审标准得2分；针对评审标准存在不合理处的得1分；内容与本项目无关或未提供的得0分。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对接上位规划</w:t>
            </w:r>
          </w:p>
        </w:tc>
        <w:tc>
          <w:tcPr>
            <w:tcW w:type="dxa" w:w="2492"/>
          </w:tcPr>
          <w:p>
            <w:pPr>
              <w:pStyle w:val="null3"/>
            </w:pPr>
            <w:r>
              <w:rPr>
                <w:rFonts w:ascii="仿宋_GB2312" w:hAnsi="仿宋_GB2312" w:cs="仿宋_GB2312" w:eastAsia="仿宋_GB2312"/>
              </w:rPr>
              <w:t>内容至少包括①充分对接上位规划传导要求；② 土地用途与指标控制要求。 评审标准：1、完整性：内容全面，对评审内容中的各项要求有详细描述。 2、针对性：内容能够紧扣项目实际情况，内容科学合理。每完全满足一个评审标准得2分；针对评审标准存在不合理处的得1分；内容与本项目无关或未提供的得0分。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项目编制思路与规划方案</w:t>
            </w:r>
          </w:p>
        </w:tc>
        <w:tc>
          <w:tcPr>
            <w:tcW w:type="dxa" w:w="2492"/>
          </w:tcPr>
          <w:p>
            <w:pPr>
              <w:pStyle w:val="null3"/>
            </w:pPr>
            <w:r>
              <w:rPr>
                <w:rFonts w:ascii="仿宋_GB2312" w:hAnsi="仿宋_GB2312" w:cs="仿宋_GB2312" w:eastAsia="仿宋_GB2312"/>
              </w:rPr>
              <w:t>内容至少包括①项目编制思路；②完成用地规划方案；③完成初步城市设计方案。 评审标准：1、完整性：内容全面，对评审内容中的各项要求有详细描述。 2、针对性：能够紧扣项目实际情况，规划方案科学合理。 3、可实施性：切合本项目实际情况，具备可落地性和可实施性。每完全满足一个评审标准得2分；针对评审标准存在不合理处的得1分；内容与本项目无关或未提供的得0分。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规划成果示意</w:t>
            </w:r>
          </w:p>
        </w:tc>
        <w:tc>
          <w:tcPr>
            <w:tcW w:type="dxa" w:w="2492"/>
          </w:tcPr>
          <w:p>
            <w:pPr>
              <w:pStyle w:val="null3"/>
            </w:pPr>
            <w:r>
              <w:rPr>
                <w:rFonts w:ascii="仿宋_GB2312" w:hAnsi="仿宋_GB2312" w:cs="仿宋_GB2312" w:eastAsia="仿宋_GB2312"/>
              </w:rPr>
              <w:t>内容至少包括①区位分析图；②土地资源现状图；③土地利用规划图；④城市设计鸟瞰图；⑤可利用土地资源梳理。 评审标准：1、完整性：内容全面，图纸规范，对评审内容中的各项要求有详细描述。 2、针对性：内容能够紧扣项目实际情况，内容科学合理。 3、可实施性：切合本项目实际情况，提出步骤清晰、合理的内容。内容①～⑤每完全满足一个评审标准得3分；内容①～⑤项任意一项缺项扣3分，扣完为止；内容①～⑤项里有一项内容不完全满足评审标准扣1.5分/项，扣完为止。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内容至少包括①提供合理的工作计划及时间节点；②具体工作进度的保障措施；③突发状况的应急预案。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项目负责人同时具有相关专业高级及以上职称、国家注册规划师资格得5分，不满足的不得分。（需提供身份证、毕业证、职称证、注册证书等复印件或扫描件，并提供在本单位任职的证明材料）。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拟配备团队人员</w:t>
            </w:r>
          </w:p>
        </w:tc>
        <w:tc>
          <w:tcPr>
            <w:tcW w:type="dxa" w:w="2492"/>
          </w:tcPr>
          <w:p>
            <w:pPr>
              <w:pStyle w:val="null3"/>
            </w:pPr>
            <w:r>
              <w:rPr>
                <w:rFonts w:ascii="仿宋_GB2312" w:hAnsi="仿宋_GB2312" w:cs="仿宋_GB2312" w:eastAsia="仿宋_GB2312"/>
              </w:rPr>
              <w:t>项目组人员配置及分工合理，拟派本项目组人员（不包括项目负责人）具有注册城乡规划师资格或城乡规划相关专业高级职称的，每提供一个得2分；具有城乡规划相关专业中级职称的，每提供一个得1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内容至少包括①服务质量目标分析；②针对本项目质量管理制 度；③内部管控流程。 评审标准：1、完整性：内容全面，对评审内容中的各项要求有详细描述。 2、针对性：内容能够紧扣项目实际情况，内容科学合理。 3、可实施性：切合本项目实际情况，提出步骤清晰、合理的内容。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内容至少包括①承诺对于一般技术问题能当时解决、对于重要技术问题和关键性技术问题能及时给予解决，能提供现场技术咨询服务等内容；②廉洁从业的承诺；③未能完全履行承诺时的相关处罚承诺等。 1、承诺详细、具体，可行性强，得3分； 2、承诺较为详细，有可行性，得2分； 3、承诺可行性不合理，得1分；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的类似项目业绩（含详细规划项目），每提供一份得1分，满分3分，未提供不得分。业绩证明（以合同或中标通知书为准，须在投标文件中附合同或中标通知书的扫描件或复印件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