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版本号：2026-ZYD-ZB-00220260119002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蓝田县安村镇下白村农业产业提升项目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2026-ZYD-ZB-002</w:t>
      </w:r>
      <w:r>
        <w:br/>
      </w:r>
      <w:r>
        <w:br/>
      </w:r>
      <w:r>
        <w:br/>
      </w:r>
    </w:p>
    <w:p>
      <w:pPr>
        <w:pStyle w:val="null3"/>
        <w:jc w:val="center"/>
        <w:outlineLvl w:val="2"/>
      </w:pPr>
      <w:r>
        <w:rPr>
          <w:rFonts w:ascii="仿宋_GB2312" w:hAnsi="仿宋_GB2312" w:cs="仿宋_GB2312" w:eastAsia="仿宋_GB2312"/>
          <w:sz w:val="28"/>
          <w:b/>
        </w:rPr>
        <w:t>西安市蓝田县安村镇人民政府（本级）</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西安市蓝田县安村镇人民政府（本级）</w:t>
      </w:r>
      <w:r>
        <w:rPr>
          <w:rFonts w:ascii="仿宋_GB2312" w:hAnsi="仿宋_GB2312" w:cs="仿宋_GB2312" w:eastAsia="仿宋_GB2312"/>
        </w:rPr>
        <w:t>委托，拟对</w:t>
      </w:r>
      <w:r>
        <w:rPr>
          <w:rFonts w:ascii="仿宋_GB2312" w:hAnsi="仿宋_GB2312" w:cs="仿宋_GB2312" w:eastAsia="仿宋_GB2312"/>
        </w:rPr>
        <w:t>蓝田县安村镇下白村农业产业提升项目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2026-ZYD-ZB-002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蓝田县安村镇下白村农业产业提升项目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购置粮食生产农机，实现降低人工与农资成本、提升作业效率与粮食产量、拓展对外服务创收及减少产后损耗、实现集体经济效益的多维度增长。完善农业灌溉体系，保障农田及相关区域的灌溉用水提升水肥利用效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1、供应商信用记录：供应商应在谈判截止日前未被列入失信被执行人、重大税收违法案件当事人名单、政府采购严重违法失信行为记录名单（处罚期限届满的除外）（以“信用中国”网站 （www.creditchina.gov.cn）、中国政府采购网（www.ccgp.gov.cn）查询结果为准；</w:t>
      </w:r>
    </w:p>
    <w:p>
      <w:pPr>
        <w:pStyle w:val="null3"/>
      </w:pPr>
      <w:r>
        <w:rPr>
          <w:rFonts w:ascii="仿宋_GB2312" w:hAnsi="仿宋_GB2312" w:cs="仿宋_GB2312" w:eastAsia="仿宋_GB2312"/>
        </w:rPr>
        <w:t>2、供应商授权委托书：法定代表人委托授权书及被授权人身份证（法定代表人参加的只需提供法定代表人身份证）；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西安市蓝田县安村镇人民政府（本级）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蓝田县安村镇巨东街道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王怡清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15991277385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陕西省西安市新城区东元西路东岸国际2711室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采购包1：996,365.68元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西安市蓝田县安村镇人民政府（本级）</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西安市蓝田县安村镇人民政府（本级）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西安市蓝田县安村镇人民政府（本级）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陕西中扬德项目管理有限公司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31.15%，分包履行的内容：农田灌溉工程。分包资质要求：具备水利水电工程施工总承包三级及以上资质证书及合格有效的安全生产许可证。拟派项目经理具备水利水电工程专业注册建造师（二级及以上）及有效的安全生产考核证书且无在建项目；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符合国家技术规范要求，并达到质量合格标准。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联系电话：029-82523355</w:t>
      </w:r>
    </w:p>
    <w:p>
      <w:pPr>
        <w:pStyle w:val="null3"/>
      </w:pPr>
      <w:r>
        <w:rPr>
          <w:rFonts w:ascii="仿宋_GB2312" w:hAnsi="仿宋_GB2312" w:cs="仿宋_GB2312" w:eastAsia="仿宋_GB2312"/>
        </w:rPr>
        <w:t>地址：陕西省西安市新城区东元西路东岸国际2711室</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购置粮食生产农机，实现降低人工与农资成本、提升作业效率与粮食产量、拓展对外服务创收及减少产后损耗、实现集体经济效益的多维度增长。完善农业灌溉体系，保障农田及相关区域的灌溉用水提升水肥利用效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996,365.68</w:t>
      </w:r>
    </w:p>
    <w:p>
      <w:pPr>
        <w:pStyle w:val="null3"/>
      </w:pPr>
      <w:r>
        <w:rPr>
          <w:rFonts w:ascii="仿宋_GB2312" w:hAnsi="仿宋_GB2312" w:cs="仿宋_GB2312" w:eastAsia="仿宋_GB2312"/>
        </w:rPr>
        <w:t>采购包最高限价（元）: 996,365.68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996,365.68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标的名称：农业设备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1"/>
                <w:b/>
              </w:rPr>
              <w:t xml:space="preserve">  一、项目概况</w:t>
            </w:r>
          </w:p>
          <w:p>
            <w:pPr>
              <w:pStyle w:val="null3"/>
              <w:ind w:firstLine="480"/>
              <w:jc w:val="both"/>
            </w:pPr>
            <w:r>
              <w:rPr>
                <w:rFonts w:ascii="仿宋_GB2312" w:hAnsi="仿宋_GB2312" w:cs="仿宋_GB2312" w:eastAsia="仿宋_GB2312"/>
                <w:sz w:val="24"/>
              </w:rPr>
              <w:t>本项目为购置粮食生产农机，实现</w:t>
            </w:r>
            <w:r>
              <w:rPr>
                <w:rFonts w:ascii="仿宋_GB2312" w:hAnsi="仿宋_GB2312" w:cs="仿宋_GB2312" w:eastAsia="仿宋_GB2312"/>
                <w:sz w:val="24"/>
              </w:rPr>
              <w:t>降低人工与农资成本、提升作业效率与粮食产量、拓展对外服务创收及减少产后损耗、实现集体经济效益的多维度增长。完善农业灌溉体系，保障农田及相关区域的灌溉用水提升水肥利用效率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其中施工占比约为</w:t>
            </w:r>
            <w:r>
              <w:rPr>
                <w:rFonts w:ascii="仿宋_GB2312" w:hAnsi="仿宋_GB2312" w:cs="仿宋_GB2312" w:eastAsia="仿宋_GB2312"/>
                <w:sz w:val="24"/>
              </w:rPr>
              <w:t>31.15%，设备采购占比约为68.85%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1"/>
                <w:b/>
              </w:rPr>
              <w:t>二、</w:t>
            </w:r>
            <w:r>
              <w:rPr>
                <w:rFonts w:ascii="仿宋_GB2312" w:hAnsi="仿宋_GB2312" w:cs="仿宋_GB2312" w:eastAsia="仿宋_GB2312"/>
                <w:sz w:val="21"/>
                <w:b/>
              </w:rPr>
              <w:t>采购内</w:t>
            </w:r>
            <w:r>
              <w:rPr>
                <w:rFonts w:ascii="仿宋_GB2312" w:hAnsi="仿宋_GB2312" w:cs="仿宋_GB2312" w:eastAsia="仿宋_GB2312"/>
                <w:sz w:val="21"/>
                <w:b/>
              </w:rPr>
              <w:t>容</w:t>
            </w:r>
            <w:r>
              <w:rPr>
                <w:rFonts w:ascii="仿宋_GB2312" w:hAnsi="仿宋_GB2312" w:cs="仿宋_GB2312" w:eastAsia="仿宋_GB2312"/>
                <w:sz w:val="21"/>
                <w:b/>
              </w:rPr>
              <w:t>（标记</w:t>
            </w:r>
            <w:r>
              <w:rPr>
                <w:rFonts w:ascii="仿宋_GB2312" w:hAnsi="仿宋_GB2312" w:cs="仿宋_GB2312" w:eastAsia="仿宋_GB2312"/>
                <w:sz w:val="21"/>
                <w:b/>
              </w:rPr>
              <w:t>“▲”</w:t>
            </w:r>
            <w:r>
              <w:rPr>
                <w:rFonts w:ascii="仿宋_GB2312" w:hAnsi="仿宋_GB2312" w:cs="仿宋_GB2312" w:eastAsia="仿宋_GB2312"/>
                <w:sz w:val="21"/>
                <w:b/>
              </w:rPr>
              <w:t>为核心产品）</w:t>
            </w:r>
          </w:p>
          <w:tbl>
            <w:tblPr>
              <w:tblInd w:type="dxa" w:w="90"/>
              <w:tblBorders>
                <w:top w:val="none" w:color="000000" w:sz="4"/>
                <w:left w:val="none" w:color="000000" w:sz="4"/>
                <w:bottom w:val="none" w:color="000000" w:sz="4"/>
                <w:right w:val="none" w:color="000000" w:sz="4"/>
                <w:insideH w:val="none"/>
                <w:insideV w:val="none"/>
              </w:tblBorders>
            </w:tblPr>
            <w:tblGrid>
              <w:gridCol w:w="328"/>
              <w:gridCol w:w="423"/>
              <w:gridCol w:w="939"/>
              <w:gridCol w:w="387"/>
              <w:gridCol w:w="469"/>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拖拉机</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1.功率≧145KW；</w:t>
                  </w:r>
                  <w:r>
                    <w:br/>
                  </w:r>
                  <w:r>
                    <w:rPr>
                      <w:rFonts w:ascii="仿宋_GB2312" w:hAnsi="仿宋_GB2312" w:cs="仿宋_GB2312" w:eastAsia="仿宋_GB2312"/>
                      <w:sz w:val="22"/>
                      <w:color w:val="000000"/>
                    </w:rPr>
                    <w:t>2.轮距（前/后）≧1600/1700</w:t>
                  </w:r>
                  <w:r>
                    <w:br/>
                  </w:r>
                  <w:r>
                    <w:rPr>
                      <w:rFonts w:ascii="仿宋_GB2312" w:hAnsi="仿宋_GB2312" w:cs="仿宋_GB2312" w:eastAsia="仿宋_GB2312"/>
                      <w:sz w:val="22"/>
                      <w:color w:val="000000"/>
                    </w:rPr>
                    <w:t>3.最小使用质量≧6200KG</w:t>
                  </w:r>
                  <w:r>
                    <w:br/>
                  </w:r>
                  <w:r>
                    <w:rPr>
                      <w:rFonts w:ascii="仿宋_GB2312" w:hAnsi="仿宋_GB2312" w:cs="仿宋_GB2312" w:eastAsia="仿宋_GB2312"/>
                      <w:sz w:val="22"/>
                      <w:color w:val="000000"/>
                    </w:rPr>
                    <w:t>4.排放标准：第四阶段</w:t>
                  </w:r>
                  <w:r>
                    <w:br/>
                  </w:r>
                  <w:r>
                    <w:rPr>
                      <w:rFonts w:ascii="仿宋_GB2312" w:hAnsi="仿宋_GB2312" w:cs="仿宋_GB2312" w:eastAsia="仿宋_GB2312"/>
                      <w:sz w:val="22"/>
                      <w:color w:val="000000"/>
                    </w:rPr>
                    <w:t>5.外廓尺寸mm≧5000*2300*3000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犁</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1.耕幅（mm）≧440</w:t>
                  </w:r>
                  <w:r>
                    <w:br/>
                  </w:r>
                  <w:r>
                    <w:rPr>
                      <w:rFonts w:ascii="仿宋_GB2312" w:hAnsi="仿宋_GB2312" w:cs="仿宋_GB2312" w:eastAsia="仿宋_GB2312"/>
                      <w:sz w:val="22"/>
                      <w:color w:val="000000"/>
                    </w:rPr>
                    <w:t>2.外观尺寸（mm）≧3000*1600*1550</w:t>
                  </w:r>
                  <w:r>
                    <w:br/>
                  </w:r>
                  <w:r>
                    <w:rPr>
                      <w:rFonts w:ascii="仿宋_GB2312" w:hAnsi="仿宋_GB2312" w:cs="仿宋_GB2312" w:eastAsia="仿宋_GB2312"/>
                      <w:sz w:val="22"/>
                      <w:color w:val="000000"/>
                    </w:rPr>
                    <w:t>3.耕深（cm）≧15</w:t>
                  </w:r>
                  <w:r>
                    <w:br/>
                  </w:r>
                  <w:r>
                    <w:rPr>
                      <w:rFonts w:ascii="仿宋_GB2312" w:hAnsi="仿宋_GB2312" w:cs="仿宋_GB2312" w:eastAsia="仿宋_GB2312"/>
                      <w:sz w:val="22"/>
                      <w:color w:val="000000"/>
                    </w:rPr>
                    <w:t>4.配套动力（KW）≧65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旋耕机</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1.外形尺寸（mm）≧1200*2650*1300</w:t>
                  </w:r>
                  <w:r>
                    <w:br/>
                  </w:r>
                  <w:r>
                    <w:rPr>
                      <w:rFonts w:ascii="仿宋_GB2312" w:hAnsi="仿宋_GB2312" w:cs="仿宋_GB2312" w:eastAsia="仿宋_GB2312"/>
                      <w:sz w:val="22"/>
                      <w:color w:val="000000"/>
                    </w:rPr>
                    <w:t>2.配套动力（KW）≧60</w:t>
                  </w:r>
                  <w:r>
                    <w:br/>
                  </w:r>
                  <w:r>
                    <w:rPr>
                      <w:rFonts w:ascii="仿宋_GB2312" w:hAnsi="仿宋_GB2312" w:cs="仿宋_GB2312" w:eastAsia="仿宋_GB2312"/>
                      <w:sz w:val="22"/>
                      <w:color w:val="000000"/>
                    </w:rPr>
                    <w:t>3.耕深（cm）≧8</w:t>
                  </w:r>
                  <w:r>
                    <w:br/>
                  </w:r>
                  <w:r>
                    <w:rPr>
                      <w:rFonts w:ascii="仿宋_GB2312" w:hAnsi="仿宋_GB2312" w:cs="仿宋_GB2312" w:eastAsia="仿宋_GB2312"/>
                      <w:sz w:val="22"/>
                      <w:color w:val="000000"/>
                    </w:rPr>
                    <w:t>4.整机质量（kg）≧650</w:t>
                  </w:r>
                  <w:r>
                    <w:br/>
                  </w:r>
                  <w:r>
                    <w:rPr>
                      <w:rFonts w:ascii="仿宋_GB2312" w:hAnsi="仿宋_GB2312" w:cs="仿宋_GB2312" w:eastAsia="仿宋_GB2312"/>
                      <w:sz w:val="22"/>
                      <w:color w:val="000000"/>
                    </w:rPr>
                    <w:t>5.生产率（h㎡/h）≧0.3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小麦宽幅沟播机</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1.外形尺寸（mm）≧1980*2550*1300</w:t>
                  </w:r>
                  <w:r>
                    <w:br/>
                  </w:r>
                  <w:r>
                    <w:rPr>
                      <w:rFonts w:ascii="仿宋_GB2312" w:hAnsi="仿宋_GB2312" w:cs="仿宋_GB2312" w:eastAsia="仿宋_GB2312"/>
                      <w:sz w:val="22"/>
                      <w:color w:val="000000"/>
                    </w:rPr>
                    <w:t>2.工作宽幅（cm）≧230</w:t>
                  </w:r>
                  <w:r>
                    <w:br/>
                  </w:r>
                  <w:r>
                    <w:rPr>
                      <w:rFonts w:ascii="仿宋_GB2312" w:hAnsi="仿宋_GB2312" w:cs="仿宋_GB2312" w:eastAsia="仿宋_GB2312"/>
                      <w:sz w:val="22"/>
                      <w:color w:val="000000"/>
                    </w:rPr>
                    <w:t>3.配套动力（KW）≧65</w:t>
                  </w:r>
                  <w:r>
                    <w:br/>
                  </w:r>
                  <w:r>
                    <w:rPr>
                      <w:rFonts w:ascii="仿宋_GB2312" w:hAnsi="仿宋_GB2312" w:cs="仿宋_GB2312" w:eastAsia="仿宋_GB2312"/>
                      <w:sz w:val="22"/>
                      <w:color w:val="000000"/>
                    </w:rPr>
                    <w:t>4.生产率（h㎡/h）≧0.3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玉米硬茬播种机</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1.外形尺寸（mm）：≧1500*2350*1150</w:t>
                  </w:r>
                  <w:r>
                    <w:br/>
                  </w:r>
                  <w:r>
                    <w:rPr>
                      <w:rFonts w:ascii="仿宋_GB2312" w:hAnsi="仿宋_GB2312" w:cs="仿宋_GB2312" w:eastAsia="仿宋_GB2312"/>
                      <w:sz w:val="22"/>
                      <w:color w:val="000000"/>
                    </w:rPr>
                    <w:t>2.播幅（mm）≧2500</w:t>
                  </w:r>
                  <w:r>
                    <w:br/>
                  </w:r>
                  <w:r>
                    <w:rPr>
                      <w:rFonts w:ascii="仿宋_GB2312" w:hAnsi="仿宋_GB2312" w:cs="仿宋_GB2312" w:eastAsia="仿宋_GB2312"/>
                      <w:sz w:val="22"/>
                      <w:color w:val="000000"/>
                    </w:rPr>
                    <w:t>3.配套动力（KW）≧32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▲小麦收割机</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1.功率≧147KW；</w:t>
                  </w:r>
                  <w:r>
                    <w:br/>
                  </w:r>
                  <w:r>
                    <w:rPr>
                      <w:rFonts w:ascii="仿宋_GB2312" w:hAnsi="仿宋_GB2312" w:cs="仿宋_GB2312" w:eastAsia="仿宋_GB2312"/>
                      <w:sz w:val="22"/>
                      <w:color w:val="000000"/>
                    </w:rPr>
                    <w:t>2.轴距（mm）≧2800</w:t>
                  </w:r>
                  <w:r>
                    <w:br/>
                  </w:r>
                  <w:r>
                    <w:rPr>
                      <w:rFonts w:ascii="仿宋_GB2312" w:hAnsi="仿宋_GB2312" w:cs="仿宋_GB2312" w:eastAsia="仿宋_GB2312"/>
                      <w:sz w:val="22"/>
                      <w:color w:val="000000"/>
                    </w:rPr>
                    <w:t>3.喂入量（kg/）≧10</w:t>
                  </w:r>
                  <w:r>
                    <w:br/>
                  </w:r>
                  <w:r>
                    <w:rPr>
                      <w:rFonts w:ascii="仿宋_GB2312" w:hAnsi="仿宋_GB2312" w:cs="仿宋_GB2312" w:eastAsia="仿宋_GB2312"/>
                      <w:sz w:val="22"/>
                      <w:color w:val="000000"/>
                    </w:rPr>
                    <w:t>4.总质量：（kg）≧6600</w:t>
                  </w:r>
                  <w:r>
                    <w:br/>
                  </w:r>
                  <w:r>
                    <w:rPr>
                      <w:rFonts w:ascii="仿宋_GB2312" w:hAnsi="仿宋_GB2312" w:cs="仿宋_GB2312" w:eastAsia="仿宋_GB2312"/>
                      <w:sz w:val="21"/>
                      <w:color w:val="000000"/>
                    </w:rPr>
                    <w:t>5.排放标准：第四阶段</w:t>
                  </w:r>
                </w:p>
                <w:p>
                  <w:pPr>
                    <w:pStyle w:val="null3"/>
                  </w:pPr>
                  <w:r>
                    <w:rPr>
                      <w:rFonts w:ascii="仿宋_GB2312" w:hAnsi="仿宋_GB2312" w:cs="仿宋_GB2312" w:eastAsia="仿宋_GB2312"/>
                      <w:sz w:val="21"/>
                      <w:color w:val="000000"/>
                    </w:rPr>
                    <w:t>6.带玉米割台及塞网</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农田灌溉工程</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项目编码：031005001001</w:t>
                  </w:r>
                </w:p>
                <w:p>
                  <w:pPr>
                    <w:pStyle w:val="null3"/>
                    <w:jc w:val="left"/>
                  </w:pPr>
                  <w:r>
                    <w:rPr>
                      <w:rFonts w:ascii="仿宋_GB2312" w:hAnsi="仿宋_GB2312" w:cs="仿宋_GB2312" w:eastAsia="仿宋_GB2312"/>
                      <w:sz w:val="22"/>
                      <w:color w:val="000000"/>
                    </w:rPr>
                    <w:t>项目名称：变频给水设备</w:t>
                  </w:r>
                </w:p>
                <w:p>
                  <w:pPr>
                    <w:pStyle w:val="null3"/>
                    <w:jc w:val="left"/>
                  </w:pPr>
                  <w:r>
                    <w:rPr>
                      <w:rFonts w:ascii="仿宋_GB2312" w:hAnsi="仿宋_GB2312" w:cs="仿宋_GB2312" w:eastAsia="仿宋_GB2312"/>
                      <w:sz w:val="22"/>
                      <w:color w:val="000000"/>
                    </w:rPr>
                    <w:t>项目特征描述：</w:t>
                  </w:r>
                  <w:r>
                    <w:rPr>
                      <w:rFonts w:ascii="仿宋_GB2312" w:hAnsi="仿宋_GB2312" w:cs="仿宋_GB2312" w:eastAsia="仿宋_GB2312"/>
                      <w:sz w:val="22"/>
                      <w:color w:val="000000"/>
                    </w:rPr>
                    <w:t>压力泵，驱动</w:t>
                  </w:r>
                  <w:r>
                    <w:rPr>
                      <w:rFonts w:ascii="仿宋_GB2312" w:hAnsi="仿宋_GB2312" w:cs="仿宋_GB2312" w:eastAsia="仿宋_GB2312"/>
                      <w:sz w:val="22"/>
                      <w:color w:val="000000"/>
                    </w:rPr>
                    <w:t>力≧7.5KW</w:t>
                  </w:r>
                </w:p>
                <w:p>
                  <w:pPr>
                    <w:pStyle w:val="null3"/>
                    <w:jc w:val="left"/>
                  </w:pPr>
                  <w:r>
                    <w:rPr>
                      <w:rFonts w:ascii="仿宋_GB2312" w:hAnsi="仿宋_GB2312" w:cs="仿宋_GB2312" w:eastAsia="仿宋_GB2312"/>
                      <w:sz w:val="22"/>
                      <w:color w:val="000000"/>
                    </w:rPr>
                    <w:t>具体见工程量清单</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bl>
          <w:p>
            <w:pPr>
              <w:pStyle w:val="null3"/>
              <w:jc w:val="both"/>
            </w:pPr>
            <w:r>
              <w:rPr>
                <w:rFonts w:ascii="仿宋_GB2312" w:hAnsi="仿宋_GB2312" w:cs="仿宋_GB2312" w:eastAsia="仿宋_GB2312"/>
                <w:sz w:val="24"/>
                <w:b/>
              </w:rPr>
              <w:t xml:space="preserve">  三、技术要求</w:t>
            </w:r>
            <w:r>
              <w:rPr>
                <w:rFonts w:ascii="仿宋_GB2312" w:hAnsi="仿宋_GB2312" w:cs="仿宋_GB2312" w:eastAsia="仿宋_GB2312"/>
                <w:sz w:val="24"/>
                <w:b/>
              </w:rPr>
              <w:t>（</w:t>
            </w:r>
            <w:r>
              <w:rPr>
                <w:rFonts w:ascii="仿宋_GB2312" w:hAnsi="仿宋_GB2312" w:cs="仿宋_GB2312" w:eastAsia="仿宋_GB2312"/>
                <w:sz w:val="24"/>
                <w:b/>
              </w:rPr>
              <w:t>实质性条款）</w:t>
            </w:r>
          </w:p>
          <w:p>
            <w:pPr>
              <w:pStyle w:val="null3"/>
              <w:ind w:firstLine="482"/>
              <w:jc w:val="both"/>
            </w:pPr>
            <w:r>
              <w:rPr>
                <w:rFonts w:ascii="仿宋_GB2312" w:hAnsi="仿宋_GB2312" w:cs="仿宋_GB2312" w:eastAsia="仿宋_GB2312"/>
                <w:sz w:val="24"/>
                <w:b/>
              </w:rPr>
              <w:t>1、技术要求：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1）本项目核心农机产品，须获得农业机械推广鉴定证书，随货物提供技术资料：不限于产品合格证或检验报告或产品说明书或推广鉴定报告等。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2）保证技术指标先进、质量性能可靠，配置合理。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3）符合国家有关规范要求，确保达到最佳运行状态。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4）负责操作人员的培训。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5）严格履行产品质量法和农机产品修理、更换、退货责任，遵守国家农“三包”和售后服务规定。</w:t>
            </w:r>
          </w:p>
          <w:p>
            <w:pPr>
              <w:pStyle w:val="null3"/>
              <w:ind w:firstLine="482"/>
              <w:jc w:val="both"/>
            </w:pPr>
            <w:r>
              <w:rPr>
                <w:rFonts w:ascii="仿宋_GB2312" w:hAnsi="仿宋_GB2312" w:cs="仿宋_GB2312" w:eastAsia="仿宋_GB2312"/>
                <w:sz w:val="24"/>
                <w:b/>
              </w:rPr>
              <w:t>2、商务要求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1）货物合同内容及金额：即中标单位的投标内容及其中标总金额。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2）货物规格、数量：即交付的货物规格、数量与投标文件所指明的或者与本合同所指明的货物规格及型号相一致。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3）交货期：自合同签订之日起 30 个日历天。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4）供货地点：采购人指定地点。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5）付款方式：合同签订后10个工作日内支付合同总价款的4</w:t>
            </w:r>
            <w:r>
              <w:rPr>
                <w:rFonts w:ascii="仿宋_GB2312" w:hAnsi="仿宋_GB2312" w:cs="仿宋_GB2312" w:eastAsia="仿宋_GB2312"/>
                <w:sz w:val="24"/>
              </w:rPr>
              <w:t>0%作为预付款。全部货物到达采购人指定地点并验收合格后，10个工作日内支付合同总价款的6</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6）产品质保期：</w:t>
            </w:r>
            <w:r>
              <w:rPr>
                <w:rFonts w:ascii="仿宋_GB2312" w:hAnsi="仿宋_GB2312" w:cs="仿宋_GB2312" w:eastAsia="仿宋_GB2312"/>
                <w:sz w:val="24"/>
              </w:rPr>
              <w:t>不低于设备出厂质保年限。（质保期内乙方所供产品非人为损坏产品质量问题维修、更换产生的所有费用由乙方自行承担）。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7）包装、运输、调试及培训要求：</w:t>
            </w:r>
          </w:p>
          <w:p>
            <w:pPr>
              <w:pStyle w:val="null3"/>
              <w:ind w:firstLine="480"/>
              <w:jc w:val="both"/>
            </w:pPr>
            <w:r>
              <w:rPr>
                <w:rFonts w:ascii="仿宋_GB2312" w:hAnsi="仿宋_GB2312" w:cs="仿宋_GB2312" w:eastAsia="仿宋_GB2312"/>
                <w:sz w:val="24"/>
              </w:rPr>
              <w:t xml:space="preserve">  7.1.包装：应采取防潮、防晒、防腐蚀、防震动及其它防止损坏的必要措施。</w:t>
            </w:r>
            <w:r>
              <w:rPr>
                <w:rFonts w:ascii="仿宋_GB2312" w:hAnsi="仿宋_GB2312" w:cs="仿宋_GB2312" w:eastAsia="仿宋_GB2312"/>
                <w:sz w:val="24"/>
              </w:rPr>
              <w:t>成交人应承担由于其包装或防护措施不妥而引起的货物损坏和丢失等造成的损失</w:t>
            </w:r>
            <w:r>
              <w:rPr>
                <w:rFonts w:ascii="仿宋_GB2312" w:hAnsi="仿宋_GB2312" w:cs="仿宋_GB2312" w:eastAsia="仿宋_GB2312"/>
                <w:sz w:val="24"/>
              </w:rPr>
              <w:t>或费用。</w:t>
            </w:r>
          </w:p>
          <w:p>
            <w:pPr>
              <w:pStyle w:val="null3"/>
              <w:ind w:firstLine="480"/>
              <w:jc w:val="both"/>
            </w:pPr>
            <w:r>
              <w:rPr>
                <w:rFonts w:ascii="仿宋_GB2312" w:hAnsi="仿宋_GB2312" w:cs="仿宋_GB2312" w:eastAsia="仿宋_GB2312"/>
                <w:sz w:val="24"/>
              </w:rPr>
              <w:t xml:space="preserve">  7.2.运输：选择运输风险小、运费低、距离短的运输路线。运杂费包含在总价内，包括生产厂家到现场所需的装卸、运输（含保险费）、现场保管费、二次倒运费等费用。</w:t>
            </w:r>
          </w:p>
          <w:p>
            <w:pPr>
              <w:pStyle w:val="null3"/>
              <w:ind w:firstLine="480"/>
              <w:jc w:val="both"/>
            </w:pPr>
            <w:r>
              <w:rPr>
                <w:rFonts w:ascii="仿宋_GB2312" w:hAnsi="仿宋_GB2312" w:cs="仿宋_GB2312" w:eastAsia="仿宋_GB2312"/>
                <w:sz w:val="24"/>
              </w:rPr>
              <w:t>（8）质量验收标准或规范：符合国家技术规范要求，并达到质量合格标准。</w:t>
            </w:r>
          </w:p>
          <w:p>
            <w:pPr>
              <w:pStyle w:val="null3"/>
              <w:jc w:val="both"/>
            </w:pPr>
            <w:r>
              <w:rPr>
                <w:rFonts w:ascii="仿宋_GB2312" w:hAnsi="仿宋_GB2312" w:cs="仿宋_GB2312" w:eastAsia="仿宋_GB2312"/>
                <w:sz w:val="24"/>
                <w:b/>
              </w:rPr>
              <w:t>四、其他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1）质保期内发生故障，接到采购人通知后，应于当日 12 小时内派出专业的维护人员到现场进行检测维修，成交供应商承担往返费用；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2）定期派技术人员到现场走访，给予检查维护；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排除故障的时限不能超过</w:t>
            </w:r>
            <w:r>
              <w:rPr>
                <w:rFonts w:ascii="仿宋_GB2312" w:hAnsi="仿宋_GB2312" w:cs="仿宋_GB2312" w:eastAsia="仿宋_GB2312"/>
                <w:sz w:val="24"/>
              </w:rPr>
              <w:t xml:space="preserve"> 24</w:t>
            </w:r>
            <w:r>
              <w:rPr>
                <w:rFonts w:ascii="仿宋_GB2312" w:hAnsi="仿宋_GB2312" w:cs="仿宋_GB2312" w:eastAsia="仿宋_GB2312"/>
                <w:sz w:val="24"/>
              </w:rPr>
              <w:t xml:space="preserve"> </w:t>
            </w:r>
            <w:r>
              <w:rPr>
                <w:rFonts w:ascii="仿宋_GB2312" w:hAnsi="仿宋_GB2312" w:cs="仿宋_GB2312" w:eastAsia="仿宋_GB2312"/>
                <w:sz w:val="24"/>
              </w:rPr>
              <w:t>小时，排除故障超过</w:t>
            </w:r>
            <w:r>
              <w:rPr>
                <w:rFonts w:ascii="仿宋_GB2312" w:hAnsi="仿宋_GB2312" w:cs="仿宋_GB2312" w:eastAsia="仿宋_GB2312"/>
                <w:sz w:val="24"/>
              </w:rPr>
              <w:t>24</w:t>
            </w:r>
            <w:r>
              <w:rPr>
                <w:rFonts w:ascii="仿宋_GB2312" w:hAnsi="仿宋_GB2312" w:cs="仿宋_GB2312" w:eastAsia="仿宋_GB2312"/>
                <w:sz w:val="24"/>
              </w:rPr>
              <w:t>小时有备选方案；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违约责任</w:t>
            </w:r>
          </w:p>
          <w:p>
            <w:pPr>
              <w:pStyle w:val="null3"/>
              <w:ind w:firstLine="480"/>
              <w:jc w:val="both"/>
            </w:pPr>
            <w:r>
              <w:rPr>
                <w:rFonts w:ascii="仿宋_GB2312" w:hAnsi="仿宋_GB2312" w:cs="仿宋_GB2312" w:eastAsia="仿宋_GB2312"/>
                <w:sz w:val="24"/>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w:t>
            </w:r>
          </w:p>
          <w:p>
            <w:pPr>
              <w:pStyle w:val="null3"/>
              <w:ind w:firstLine="480"/>
              <w:jc w:val="both"/>
            </w:pPr>
            <w:r>
              <w:rPr>
                <w:rFonts w:ascii="仿宋_GB2312" w:hAnsi="仿宋_GB2312" w:cs="仿宋_GB2312" w:eastAsia="仿宋_GB2312"/>
                <w:sz w:val="24"/>
              </w:rPr>
              <w:t>采购人违约的，应当赔偿给成交供应商造成的经济损失。合同执行中发生争议的，当事人双方应协商解决，协商达不成一致时，可向西安仲裁委员会提请仲裁。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5）验收</w:t>
            </w:r>
          </w:p>
          <w:p>
            <w:pPr>
              <w:pStyle w:val="null3"/>
              <w:ind w:firstLine="480"/>
              <w:jc w:val="both"/>
            </w:pPr>
            <w:r>
              <w:rPr>
                <w:rFonts w:ascii="仿宋_GB2312" w:hAnsi="仿宋_GB2312" w:cs="仿宋_GB2312" w:eastAsia="仿宋_GB2312"/>
                <w:sz w:val="24"/>
              </w:rPr>
              <w:t>1、物品运送到指定地点后，由采购人进行验收清点确认，合格后签发《验收合格单》。</w:t>
            </w:r>
          </w:p>
          <w:p>
            <w:pPr>
              <w:pStyle w:val="null3"/>
              <w:ind w:firstLine="480"/>
              <w:jc w:val="both"/>
            </w:pPr>
            <w:r>
              <w:rPr>
                <w:rFonts w:ascii="仿宋_GB2312" w:hAnsi="仿宋_GB2312" w:cs="仿宋_GB2312" w:eastAsia="仿宋_GB2312"/>
                <w:sz w:val="24"/>
              </w:rPr>
              <w:t>2、验收不合格的成交供应商，必须在接到通知后 7 个日历天内确保通过验收。如接到通知后 7 个日历天内验收仍不合格，采购人可提出索赔或取消其供货合同。</w:t>
            </w:r>
          </w:p>
          <w:p>
            <w:pPr>
              <w:pStyle w:val="null3"/>
              <w:ind w:firstLine="480"/>
              <w:jc w:val="both"/>
            </w:pPr>
            <w:r>
              <w:rPr>
                <w:rFonts w:ascii="仿宋_GB2312" w:hAnsi="仿宋_GB2312" w:cs="仿宋_GB2312" w:eastAsia="仿宋_GB2312"/>
                <w:sz w:val="24"/>
              </w:rPr>
              <w:t>3、验收依据</w:t>
            </w:r>
          </w:p>
          <w:p>
            <w:pPr>
              <w:pStyle w:val="null3"/>
              <w:ind w:firstLine="480"/>
              <w:jc w:val="both"/>
            </w:pPr>
            <w:r>
              <w:rPr>
                <w:rFonts w:ascii="仿宋_GB2312" w:hAnsi="仿宋_GB2312" w:cs="仿宋_GB2312" w:eastAsia="仿宋_GB2312"/>
                <w:sz w:val="24"/>
              </w:rPr>
              <w:t>合同文本及合同补充文件（条款）</w:t>
            </w:r>
          </w:p>
          <w:p>
            <w:pPr>
              <w:pStyle w:val="null3"/>
              <w:ind w:firstLine="480"/>
              <w:jc w:val="both"/>
            </w:pPr>
            <w:r>
              <w:rPr>
                <w:rFonts w:ascii="仿宋_GB2312" w:hAnsi="仿宋_GB2312" w:cs="仿宋_GB2312" w:eastAsia="仿宋_GB2312"/>
                <w:sz w:val="24"/>
              </w:rPr>
              <w:t>谈判文件</w:t>
            </w:r>
          </w:p>
          <w:p>
            <w:pPr>
              <w:pStyle w:val="null3"/>
              <w:ind w:firstLine="480"/>
              <w:jc w:val="both"/>
            </w:pPr>
            <w:r>
              <w:rPr>
                <w:rFonts w:ascii="仿宋_GB2312" w:hAnsi="仿宋_GB2312" w:cs="仿宋_GB2312" w:eastAsia="仿宋_GB2312"/>
                <w:sz w:val="24"/>
              </w:rPr>
              <w:t>响应文件</w:t>
            </w:r>
          </w:p>
          <w:p>
            <w:pPr>
              <w:pStyle w:val="null3"/>
              <w:ind w:firstLine="480"/>
              <w:jc w:val="both"/>
            </w:pPr>
            <w:r>
              <w:rPr>
                <w:rFonts w:ascii="仿宋_GB2312" w:hAnsi="仿宋_GB2312" w:cs="仿宋_GB2312" w:eastAsia="仿宋_GB2312"/>
                <w:sz w:val="24"/>
              </w:rPr>
              <w:t>合同货物清单</w:t>
            </w:r>
          </w:p>
          <w:p>
            <w:pPr>
              <w:pStyle w:val="null3"/>
              <w:ind w:firstLine="480"/>
              <w:jc w:val="both"/>
            </w:pPr>
            <w:r>
              <w:rPr>
                <w:rFonts w:ascii="仿宋_GB2312" w:hAnsi="仿宋_GB2312" w:cs="仿宋_GB2312" w:eastAsia="仿宋_GB2312"/>
                <w:sz w:val="24"/>
              </w:rPr>
              <w:t>（6）本项目涉及少量工程，经采购人同意，成交供应商可依法分包履约，成交供应商可将中标项目的非主体、非关键性工作分包给具备相应资格条件的单位；成交供应商拟分包非主体、非关键性工作的，应在响应文件中载明分包主体，且分包主体需具备资质、不得再次分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个日历天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符合国家技术规范要求，并达到质量合格标准。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不低于设备出厂质保年限（质保期内乙方所供产品非人为损坏产品质量问题维修、更换产生的所有费用由乙方自行承担）。</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 采购人违约的，应当赔偿给成交供应商造成的经济损失。合同执行中发生争议的，当事人双方应协商解决，协商达不成一致时，可向西安仲裁委员会提请仲裁。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（1）提供合格有效的法人或者其他组织的营业执照等证明文件；供应商是法人或其他组织的应提供营业执照等证明文件，供应商是自然人的应提供有效的自然人身份证明； （2）税收缴纳证明：供应商需提供谈判截至日期前6个月内任意一个月的完税凭证或税务机关开具的完税证明任意税种, 依法免税的应提供相关文件证明; （3）社会保障资金缴纳证明：供应商需提供谈判截止日期前6个月内任意一个月的社会保障资金缴存单据或社保机构开具的社会保险参保缴费情况证明, 依法不需要缴纳社会保障资金的应提供相关文件证明； （4）参加政府采购活动前三年内在经营活动中没有重大违纪的书面声明（加盖单位红色公章）；（5）提供供应商具备履行合同所必需的设备和专业技术能力的证明；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财务状况报告：提供2024年度经审计的财务报告（成立时间至谈判时间不足一年的可提供成立后任意时段的资产负债表和利润表）或谈判前六个月内其基本账户银行出具的资信证明；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供应商应在谈判截止日前未被列入失信被执行人、重大税收违法案件当事人名单、政府采购严重违法失信行为记录名单（处罚期限届满的除外）（以“信用中国”网站 （www.creditchina.gov.cn）、中国政府采购网（www.ccgp.gov.cn）查询结果为准；</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供应商授权委托书</w:t>
            </w:r>
          </w:p>
        </w:tc>
        <w:tc>
          <w:tcPr>
            <w:tcW w:type="dxa" w:w="3322"/>
          </w:tcPr>
          <w:p>
            <w:pPr>
              <w:pStyle w:val="null3"/>
            </w:pPr>
            <w:r>
              <w:rPr>
                <w:rFonts w:ascii="仿宋_GB2312" w:hAnsi="仿宋_GB2312" w:cs="仿宋_GB2312" w:eastAsia="仿宋_GB2312"/>
              </w:rPr>
              <w:t>法定代表人委托授权书及被授权人身份证（法定代表人参加的只需提供法定代表人身份证）；</w:t>
            </w:r>
          </w:p>
        </w:tc>
        <w:tc>
          <w:tcPr>
            <w:tcW w:type="dxa" w:w="1661"/>
          </w:tcPr>
          <w:p>
            <w:pPr>
              <w:pStyle w:val="null3"/>
            </w:pPr>
            <w:r>
              <w:rPr>
                <w:rFonts w:ascii="仿宋_GB2312" w:hAnsi="仿宋_GB2312" w:cs="仿宋_GB2312" w:eastAsia="仿宋_GB2312"/>
              </w:rPr>
              <w:t>供应商资格证明材料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工程量清单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谈判响应文件内需法定代表人或其授权代表人的签字或盖章的地方需签字或盖章齐全，需加盖公章的地方加盖齐全 。</w:t>
            </w:r>
          </w:p>
        </w:tc>
        <w:tc>
          <w:tcPr>
            <w:tcW w:type="dxa" w:w="1661"/>
          </w:tcPr>
          <w:p>
            <w:pPr>
              <w:pStyle w:val="null3"/>
            </w:pPr>
            <w:r>
              <w:rPr>
                <w:rFonts w:ascii="仿宋_GB2312" w:hAnsi="仿宋_GB2312" w:cs="仿宋_GB2312" w:eastAsia="仿宋_GB2312"/>
              </w:rPr>
              <w:t>分项报价表 供应商资格证明材料 中小企业声明函 商务应答表 拟投入本项目的主要负责人简历表 工程量清单 报价表 响应文件封面 产品技术参数表 供应商认为有必要补充说明的事项 残疾人福利性单位声明函 标的清单 响应函 监狱企业的证明文件 实施方案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符合谈判文件有效期要求。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只能有一个有效报价，不得提交选择性报价，按要求提交二次或多次报价，且每轮报价不超过采购预算金额或最高限价或谈判小组认为低于成本价的报价。</w:t>
            </w:r>
          </w:p>
        </w:tc>
        <w:tc>
          <w:tcPr>
            <w:tcW w:type="dxa" w:w="1661"/>
          </w:tcPr>
          <w:p>
            <w:pPr>
              <w:pStyle w:val="null3"/>
            </w:pPr>
            <w:r>
              <w:rPr>
                <w:rFonts w:ascii="仿宋_GB2312" w:hAnsi="仿宋_GB2312" w:cs="仿宋_GB2312" w:eastAsia="仿宋_GB2312"/>
              </w:rPr>
              <w:t>分项报价表 标的清单 工程量清单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要求全部响应，不能有采购人不能接受的附加条件。</w:t>
            </w:r>
          </w:p>
        </w:tc>
        <w:tc>
          <w:tcPr>
            <w:tcW w:type="dxa" w:w="1661"/>
          </w:tcPr>
          <w:p>
            <w:pPr>
              <w:pStyle w:val="null3"/>
            </w:pPr>
            <w:r>
              <w:rPr>
                <w:rFonts w:ascii="仿宋_GB2312" w:hAnsi="仿宋_GB2312" w:cs="仿宋_GB2312" w:eastAsia="仿宋_GB2312"/>
              </w:rPr>
              <w:t>分项报价表 供应商资格证明材料 中小企业声明函 商务应答表 拟投入本项目的主要负责人简历表 工程量清单 报价表 响应文件封面 产品技术参数表 供应商认为有必要补充说明的事项 残疾人福利性单位声明函 标的清单 响应函 监狱企业的证明文件 实施方案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分项报价表 供应商资格证明材料 中小企业声明函 商务应答表 拟投入本项目的主要负责人简历表 工程量清单 报价表 响应文件封面 产品技术参数表 供应商认为有必要补充说明的事项 残疾人福利性单位声明函 标的清单 响应函 监狱企业的证明文件 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分项报价表 供应商资格证明材料 中小企业声明函 商务应答表 拟投入本项目的主要负责人简历表 工程量清单 报价表 响应文件封面 产品技术参数表 供应商认为有必要补充说明的事项 残疾人福利性单位声明函 标的清单 响应函 监狱企业的证明文件 实施方案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详见附件：供应商资格证明材料</w:t>
      </w:r>
    </w:p>
    <w:p>
      <w:pPr>
        <w:pStyle w:val="null3"/>
        <w:ind w:firstLine="960"/>
      </w:pPr>
      <w:r>
        <w:rPr>
          <w:rFonts w:ascii="仿宋_GB2312" w:hAnsi="仿宋_GB2312" w:cs="仿宋_GB2312" w:eastAsia="仿宋_GB2312"/>
        </w:rPr>
        <w:t>详见附件：工程量清单</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详见附件：拟投入本项目的主要负责人简历表</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