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50ACDC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根据供应商类别进行提供：</w:t>
      </w:r>
    </w:p>
    <w:p w14:paraId="7EA7D34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011AA5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377EBCE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3337B0AF">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2F8B9D2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6BFD83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(2)提供202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年</w:t>
      </w:r>
      <w:r>
        <w:rPr>
          <w:rFonts w:hint="eastAsia" w:ascii="宋体" w:hAnsi="宋体" w:eastAsia="宋体" w:cs="宋体"/>
          <w:b w:val="0"/>
          <w:bCs w:val="0"/>
          <w:sz w:val="24"/>
          <w:szCs w:val="24"/>
          <w:lang w:val="en-US" w:eastAsia="zh-CN"/>
        </w:rPr>
        <w:t>或2025年</w:t>
      </w:r>
      <w:r>
        <w:rPr>
          <w:rFonts w:hint="eastAsia" w:ascii="宋体" w:hAnsi="宋体" w:eastAsia="宋体" w:cs="宋体"/>
          <w:b w:val="0"/>
          <w:bCs w:val="0"/>
          <w:sz w:val="24"/>
          <w:szCs w:val="24"/>
        </w:rPr>
        <w:t>度经审计的财务报告（成立时间至提交投标文件截止时间不足一年的可提供成立后任意时段的资产负债表），或投标截止时间前6个月内银行出具的资信证明；</w:t>
      </w:r>
    </w:p>
    <w:p w14:paraId="469BA46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递交截止日前6个月内已缴纳的至少一个月的纳税证明或完税证明，依法免税的单位应提供相关证明材料；</w:t>
      </w:r>
    </w:p>
    <w:p w14:paraId="7DCCFB1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递交截止日前6个月内已缴存的至少一个月的社会保障资金缴存单据或社保机构开具的社会保险参保缴费情况证明，依法不需要缴纳社会保障资金的单位应提供相关证明材料；</w:t>
      </w:r>
    </w:p>
    <w:p w14:paraId="5119879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44457EB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6C9B402">
      <w:pPr>
        <w:rPr>
          <w:rFonts w:hint="eastAsia" w:ascii="宋体" w:hAnsi="宋体" w:eastAsia="宋体" w:cs="宋体"/>
          <w:b/>
          <w:bCs/>
          <w:sz w:val="24"/>
          <w:szCs w:val="24"/>
        </w:rPr>
      </w:pPr>
    </w:p>
    <w:p w14:paraId="0CBEE20C">
      <w:pPr>
        <w:pStyle w:val="9"/>
        <w:rPr>
          <w:rFonts w:hint="eastAsia" w:ascii="宋体" w:hAnsi="宋体" w:eastAsia="宋体" w:cs="宋体"/>
          <w:b/>
          <w:bCs/>
          <w:sz w:val="24"/>
          <w:szCs w:val="24"/>
        </w:rPr>
      </w:pPr>
    </w:p>
    <w:p w14:paraId="683FD1C7">
      <w:pPr>
        <w:pStyle w:val="9"/>
        <w:rPr>
          <w:rFonts w:hint="eastAsia" w:ascii="宋体" w:hAnsi="宋体" w:eastAsia="宋体" w:cs="宋体"/>
          <w:b/>
          <w:bCs/>
          <w:sz w:val="24"/>
          <w:szCs w:val="24"/>
        </w:rPr>
      </w:pPr>
    </w:p>
    <w:p w14:paraId="6245E861">
      <w:pPr>
        <w:pStyle w:val="9"/>
        <w:rPr>
          <w:rFonts w:hint="eastAsia" w:ascii="宋体" w:hAnsi="宋体" w:eastAsia="宋体" w:cs="宋体"/>
          <w:b/>
          <w:bCs/>
          <w:sz w:val="24"/>
          <w:szCs w:val="24"/>
        </w:rPr>
      </w:pPr>
    </w:p>
    <w:p w14:paraId="3758129F">
      <w:pPr>
        <w:pStyle w:val="9"/>
        <w:rPr>
          <w:rFonts w:hint="eastAsia" w:ascii="宋体" w:hAnsi="宋体" w:eastAsia="宋体" w:cs="宋体"/>
          <w:b/>
          <w:bCs/>
          <w:sz w:val="24"/>
          <w:szCs w:val="24"/>
        </w:rPr>
      </w:pPr>
    </w:p>
    <w:p w14:paraId="7E455A63">
      <w:pPr>
        <w:pStyle w:val="9"/>
        <w:rPr>
          <w:rFonts w:hint="eastAsia" w:ascii="宋体" w:hAnsi="宋体" w:eastAsia="宋体" w:cs="宋体"/>
          <w:b/>
          <w:bCs/>
          <w:sz w:val="24"/>
          <w:szCs w:val="24"/>
        </w:rPr>
      </w:pPr>
    </w:p>
    <w:p w14:paraId="2EC0A0C8">
      <w:pPr>
        <w:pStyle w:val="9"/>
        <w:rPr>
          <w:rFonts w:hint="eastAsia" w:ascii="宋体" w:hAnsi="宋体" w:eastAsia="宋体" w:cs="宋体"/>
          <w:b/>
          <w:bCs/>
          <w:sz w:val="24"/>
          <w:szCs w:val="24"/>
        </w:rPr>
      </w:pPr>
    </w:p>
    <w:p w14:paraId="013BA156">
      <w:pPr>
        <w:pStyle w:val="9"/>
        <w:rPr>
          <w:rFonts w:hint="eastAsia" w:ascii="宋体" w:hAnsi="宋体" w:eastAsia="宋体" w:cs="宋体"/>
          <w:b/>
          <w:bCs/>
          <w:sz w:val="24"/>
          <w:szCs w:val="24"/>
        </w:rPr>
      </w:pP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D05D6B8">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w:t>
      </w:r>
      <w:r>
        <w:rPr>
          <w:rFonts w:hint="eastAsia" w:eastAsia="宋体"/>
          <w:sz w:val="24"/>
          <w:szCs w:val="24"/>
          <w:lang w:val="en-US" w:eastAsia="zh-CN"/>
        </w:rPr>
        <w:t>磋商</w:t>
      </w:r>
      <w:r>
        <w:rPr>
          <w:rFonts w:hint="eastAsia" w:eastAsia="宋体"/>
          <w:sz w:val="24"/>
          <w:szCs w:val="24"/>
          <w:lang w:eastAsia="zh-CN"/>
        </w:rPr>
        <w:t>，须提供法定代表人身份证明）；</w:t>
      </w:r>
    </w:p>
    <w:p w14:paraId="3F53BF1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投标供应商；</w:t>
      </w:r>
    </w:p>
    <w:p w14:paraId="08CE493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（3）供应商须具备</w:t>
      </w:r>
      <w:r>
        <w:rPr>
          <w:rFonts w:hint="eastAsia" w:eastAsia="宋体"/>
          <w:sz w:val="24"/>
          <w:szCs w:val="24"/>
          <w:lang w:val="en-US" w:eastAsia="zh-CN"/>
        </w:rPr>
        <w:t>行政</w:t>
      </w:r>
      <w:r>
        <w:rPr>
          <w:rFonts w:hint="eastAsia" w:eastAsia="宋体"/>
          <w:sz w:val="24"/>
          <w:szCs w:val="24"/>
          <w:lang w:eastAsia="zh-CN"/>
        </w:rPr>
        <w:t>主管部门颁发的市政公用工程施工总承包三级（含三级）以上资质，并</w:t>
      </w:r>
      <w:r>
        <w:rPr>
          <w:rFonts w:hint="eastAsia" w:eastAsia="宋体"/>
          <w:sz w:val="24"/>
          <w:szCs w:val="24"/>
          <w:lang w:val="en-US" w:eastAsia="zh-CN"/>
        </w:rPr>
        <w:t>具有合格</w:t>
      </w:r>
      <w:r>
        <w:rPr>
          <w:rFonts w:hint="eastAsia" w:eastAsia="宋体"/>
          <w:sz w:val="24"/>
          <w:szCs w:val="24"/>
          <w:lang w:eastAsia="zh-CN"/>
        </w:rPr>
        <w:t>有效的安全生产许可证；</w:t>
      </w:r>
    </w:p>
    <w:p w14:paraId="12721B82">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（4）供应商拟派项目经理须具备行业主管部门颁发的市政公用工程专业二级（含二级）以上</w:t>
      </w:r>
      <w:r>
        <w:rPr>
          <w:rFonts w:hint="eastAsia" w:eastAsia="宋体"/>
          <w:sz w:val="24"/>
          <w:szCs w:val="24"/>
          <w:lang w:val="en-US" w:eastAsia="zh-CN"/>
        </w:rPr>
        <w:t>注册</w:t>
      </w:r>
      <w:r>
        <w:rPr>
          <w:rFonts w:hint="eastAsia" w:eastAsia="宋体"/>
          <w:sz w:val="24"/>
          <w:szCs w:val="24"/>
          <w:lang w:eastAsia="zh-CN"/>
        </w:rPr>
        <w:t>建造师</w:t>
      </w:r>
      <w:r>
        <w:rPr>
          <w:rFonts w:hint="eastAsia" w:eastAsia="宋体"/>
          <w:sz w:val="24"/>
          <w:szCs w:val="24"/>
          <w:lang w:val="en-US" w:eastAsia="zh-CN"/>
        </w:rPr>
        <w:t>资格</w:t>
      </w:r>
      <w:r>
        <w:rPr>
          <w:rFonts w:hint="eastAsia" w:eastAsia="宋体"/>
          <w:sz w:val="24"/>
          <w:szCs w:val="24"/>
          <w:lang w:eastAsia="zh-CN"/>
        </w:rPr>
        <w:t>及有效的安全生产考核合格证书（</w:t>
      </w:r>
      <w:r>
        <w:rPr>
          <w:rFonts w:hint="eastAsia" w:eastAsia="宋体"/>
          <w:sz w:val="24"/>
          <w:szCs w:val="24"/>
          <w:lang w:val="en-US" w:eastAsia="zh-CN"/>
        </w:rPr>
        <w:t>B证</w:t>
      </w:r>
      <w:r>
        <w:rPr>
          <w:rFonts w:hint="eastAsia" w:eastAsia="宋体"/>
          <w:sz w:val="24"/>
          <w:szCs w:val="24"/>
          <w:lang w:eastAsia="zh-CN"/>
        </w:rPr>
        <w:t>），在本单位注册且无在建工程；</w:t>
      </w:r>
    </w:p>
    <w:p w14:paraId="4F3F9D8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（5）投标供应商不得在各级诚信信息平台被列为投标受限制的行为人；</w:t>
      </w:r>
    </w:p>
    <w:p w14:paraId="19300B0D">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sz w:val="24"/>
          <w:szCs w:val="24"/>
          <w:lang w:eastAsia="zh-CN"/>
        </w:rPr>
        <w:t>（</w:t>
      </w:r>
      <w:r>
        <w:rPr>
          <w:rFonts w:hint="eastAsia"/>
          <w:sz w:val="24"/>
          <w:szCs w:val="24"/>
          <w:lang w:val="en-US" w:eastAsia="zh-CN"/>
        </w:rPr>
        <w:t>6</w:t>
      </w:r>
      <w:r>
        <w:rPr>
          <w:rFonts w:hint="eastAsia"/>
          <w:sz w:val="24"/>
          <w:szCs w:val="24"/>
          <w:lang w:eastAsia="zh-CN"/>
        </w:rPr>
        <w:t>）</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4E36CFAC">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4DD2E8EE">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6FA20DB4">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79CAD0ED">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5F4EAE71">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188C580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5200FD84">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18867F8">
      <w:pPr>
        <w:pStyle w:val="4"/>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4"/>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3"/>
          <w:rFonts w:hint="eastAsia" w:ascii="宋体" w:hAnsi="宋体" w:eastAsia="宋体" w:cs="宋体"/>
          <w:color w:val="auto"/>
          <w:sz w:val="32"/>
          <w:szCs w:val="32"/>
          <w:highlight w:val="none"/>
          <w:lang w:val="en-US" w:eastAsia="zh-CN"/>
        </w:rPr>
      </w:pPr>
      <w:r>
        <w:rPr>
          <w:rStyle w:val="13"/>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01637986"/>
            <w:bookmarkStart w:id="15" w:name="_Toc21409095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p w14:paraId="2D965822">
      <w:pPr>
        <w:pStyle w:val="8"/>
        <w:rPr>
          <w:sz w:val="24"/>
          <w:szCs w:val="24"/>
        </w:rPr>
      </w:pPr>
    </w:p>
    <w:p w14:paraId="451C5DC6">
      <w:pPr>
        <w:pStyle w:val="15"/>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6"/>
        <w:rPr>
          <w:rFonts w:hint="eastAsia" w:ascii="宋体" w:hAnsi="宋体" w:eastAsia="宋体" w:cs="宋体"/>
          <w:color w:val="auto"/>
          <w:sz w:val="24"/>
          <w:szCs w:val="24"/>
          <w:highlight w:val="none"/>
          <w:u w:val="single"/>
          <w:lang w:val="en-US" w:eastAsia="zh-CN"/>
        </w:rPr>
      </w:pPr>
    </w:p>
    <w:p w14:paraId="53629A6D">
      <w:pPr>
        <w:pStyle w:val="16"/>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9"/>
        <w:ind w:left="0" w:leftChars="0" w:firstLine="0" w:firstLineChars="0"/>
      </w:pPr>
    </w:p>
    <w:p w14:paraId="77FEDDDC">
      <w:pPr>
        <w:pStyle w:val="8"/>
      </w:pPr>
    </w:p>
    <w:p w14:paraId="28C426B6">
      <w:pPr>
        <w:pStyle w:val="9"/>
      </w:pPr>
    </w:p>
    <w:p w14:paraId="648683CE">
      <w:pPr>
        <w:pStyle w:val="8"/>
      </w:pPr>
    </w:p>
    <w:p w14:paraId="3B0C8E55">
      <w:pPr>
        <w:pStyle w:val="9"/>
      </w:pPr>
    </w:p>
    <w:p w14:paraId="27707C01">
      <w:pPr>
        <w:pStyle w:val="8"/>
      </w:pPr>
    </w:p>
    <w:p w14:paraId="7B58A4A5">
      <w:pPr>
        <w:pStyle w:val="9"/>
      </w:pPr>
    </w:p>
    <w:p w14:paraId="06CBFF5F">
      <w:pPr>
        <w:pStyle w:val="9"/>
      </w:pPr>
    </w:p>
    <w:p w14:paraId="6B31AF1B">
      <w:pPr>
        <w:pStyle w:val="8"/>
      </w:pPr>
    </w:p>
    <w:p w14:paraId="22E42227">
      <w:pPr>
        <w:pStyle w:val="6"/>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6"/>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4"/>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bookmarkStart w:id="24" w:name="_GoBack"/>
      <w:bookmarkEnd w:id="24"/>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6"/>
        <w:adjustRightInd w:val="0"/>
        <w:snapToGrid w:val="0"/>
        <w:spacing w:line="360" w:lineRule="auto"/>
        <w:rPr>
          <w:rFonts w:hint="eastAsia" w:ascii="宋体" w:hAnsi="宋体" w:eastAsia="宋体" w:cs="宋体"/>
          <w:spacing w:val="4"/>
          <w:sz w:val="32"/>
          <w:szCs w:val="32"/>
          <w:highlight w:val="none"/>
        </w:rPr>
      </w:pPr>
    </w:p>
    <w:p w14:paraId="2AB6A86C">
      <w:pPr>
        <w:pStyle w:val="6"/>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08F5187C"/>
    <w:rsid w:val="12301792"/>
    <w:rsid w:val="1C2F7C49"/>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8490237"/>
    <w:rsid w:val="48D34A2F"/>
    <w:rsid w:val="4A5D4EF8"/>
    <w:rsid w:val="4D6D4B1A"/>
    <w:rsid w:val="4DA644C0"/>
    <w:rsid w:val="502B5150"/>
    <w:rsid w:val="51303FD7"/>
    <w:rsid w:val="5A7476F4"/>
    <w:rsid w:val="5E5A0781"/>
    <w:rsid w:val="6632293D"/>
    <w:rsid w:val="667153F8"/>
    <w:rsid w:val="6863073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next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paragraph" w:customStyle="1" w:styleId="12">
    <w:name w:val="列表段落1"/>
    <w:basedOn w:val="1"/>
    <w:autoRedefine/>
    <w:qFormat/>
    <w:uiPriority w:val="99"/>
    <w:pPr>
      <w:ind w:firstLine="420" w:firstLineChars="200"/>
    </w:pPr>
  </w:style>
  <w:style w:type="character" w:customStyle="1" w:styleId="13">
    <w:name w:val="标题 2 Char"/>
    <w:link w:val="2"/>
    <w:autoRedefine/>
    <w:qFormat/>
    <w:locked/>
    <w:uiPriority w:val="99"/>
    <w:rPr>
      <w:rFonts w:ascii="Cambria" w:hAnsi="Cambria"/>
      <w:b/>
      <w:bCs/>
      <w:kern w:val="0"/>
      <w:sz w:val="32"/>
      <w:szCs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2565</Words>
  <Characters>2699</Characters>
  <Lines>1</Lines>
  <Paragraphs>1</Paragraphs>
  <TotalTime>0</TotalTime>
  <ScaleCrop>false</ScaleCrop>
  <LinksUpToDate>false</LinksUpToDate>
  <CharactersWithSpaces>3593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pc</cp:lastModifiedBy>
  <dcterms:modified xsi:type="dcterms:W3CDTF">2026-03-10T09:45:40Z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EEBA9763AF0C45E0930B394D13DC143D_13</vt:lpwstr>
  </property>
  <property fmtid="{D5CDD505-2E9C-101B-9397-08002B2CF9AE}" pid="4" name="KSOTemplateDocerSaveRecord">
    <vt:lpwstr>eyJoZGlkIjoiMDAwZDdhMDQ5NTUxYzA3ZTY4MzU2MmUwN2FmMzQyZjYiLCJ1c2VySWQiOiIyOTIyNTgxOTMifQ==</vt:lpwstr>
  </property>
</Properties>
</file>