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版本号：2026-ZYD-ZB-00620260311001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郭村广场硬化及小花园、小菜园建设项目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2026-ZYD-ZB-006</w:t>
      </w:r>
      <w:r>
        <w:br/>
      </w:r>
      <w:r>
        <w:br/>
      </w:r>
      <w:r>
        <w:br/>
      </w:r>
    </w:p>
    <w:p>
      <w:pPr>
        <w:pStyle w:val="null3"/>
        <w:jc w:val="center"/>
        <w:outlineLvl w:val="2"/>
      </w:pPr>
      <w:r>
        <w:rPr>
          <w:rFonts w:ascii="仿宋_GB2312" w:hAnsi="仿宋_GB2312" w:cs="仿宋_GB2312" w:eastAsia="仿宋_GB2312"/>
          <w:sz w:val="28"/>
          <w:b/>
        </w:rPr>
        <w:t>西安市蓝田县安村镇人民政府（本级）</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西安市蓝田县安村镇人民政府（本级）</w:t>
      </w:r>
      <w:r>
        <w:rPr>
          <w:rFonts w:ascii="仿宋_GB2312" w:hAnsi="仿宋_GB2312" w:cs="仿宋_GB2312" w:eastAsia="仿宋_GB2312"/>
        </w:rPr>
        <w:t>委托，拟对</w:t>
      </w:r>
      <w:r>
        <w:rPr>
          <w:rFonts w:ascii="仿宋_GB2312" w:hAnsi="仿宋_GB2312" w:cs="仿宋_GB2312" w:eastAsia="仿宋_GB2312"/>
        </w:rPr>
        <w:t>郭村广场硬化及小花园、小菜园建设项目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郭村广场硬化及小花园、小菜园建设项目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蓝田县郭村广场硬化及小花园、小菜园建设项目，硬化村级活动广场，拆除残垣断壁，平整40户群众房前屋后土地，修建小花园、小果园、小菜园。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采购包1（郭村广场硬化及小花园、小菜园建设项目）：属于专门面向中小企业采购。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1、资质要求：具备建设行政主管部门核发的市政公用工程施工总承包三级（含三级）以上资质，且具备合格有效的安全生产许可证；</w:t>
      </w:r>
    </w:p>
    <w:p>
      <w:pPr>
        <w:pStyle w:val="null3"/>
      </w:pPr>
      <w:r>
        <w:rPr>
          <w:rFonts w:ascii="仿宋_GB2312" w:hAnsi="仿宋_GB2312" w:cs="仿宋_GB2312" w:eastAsia="仿宋_GB2312"/>
        </w:rPr>
        <w:t>2、项目负责人资格要求：拟派项目经理须具备市政公用工程专业二级及以上注册建造师证书和有效的安全生产考核合格证，在本单位注册且无在建工程（提供无在建工程承诺书）；</w:t>
      </w:r>
    </w:p>
    <w:p>
      <w:pPr>
        <w:pStyle w:val="null3"/>
      </w:pPr>
      <w:r>
        <w:rPr>
          <w:rFonts w:ascii="仿宋_GB2312" w:hAnsi="仿宋_GB2312" w:cs="仿宋_GB2312" w:eastAsia="仿宋_GB2312"/>
        </w:rPr>
        <w:t>3、供应商信用记录：（1）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p>
      <w:pPr>
        <w:pStyle w:val="null3"/>
      </w:pPr>
      <w:r>
        <w:rPr>
          <w:rFonts w:ascii="仿宋_GB2312" w:hAnsi="仿宋_GB2312" w:cs="仿宋_GB2312" w:eastAsia="仿宋_GB2312"/>
        </w:rPr>
        <w:t>4、供应商授权委托书：法定代表人授权书（附法定代表人、被授权人身份证复印件）；法定代表人直接参加磋商，须提供法定代表人身份证明及身份证复印件；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西安市蓝田县安村镇人民政府（本级）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蓝田县安村镇巨东街道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西安市蓝田县安村镇人民政府（本级）经办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13571839059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采购包1：499,819.70元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号文，以中标价为基数,按标准计取代理服务费。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西安市蓝田县安村镇人民政府（本级）</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西安市蓝田县安村镇人民政府（本级）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西安市蓝田县安村镇人民政府（本级）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（1）在工程项目完成后，按照合同、设计文件、技术规范和相关法律法规，对工程的质量、功能、安全等方面进行全面检查和确认。确保工程符合设计要求，达到使用标准，具备交付使用条件。 （2）验收不合格的立即整改，必须在接到通知后 7 个日历天内确保通过验收。 （3）验收依据 合同文本及合同补充文件（条款）、招标文件、投标文件、《建设工程质量管理条例》、《建筑工程施工质量验收统一标准》。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联系电话：029-82523355</w:t>
      </w:r>
    </w:p>
    <w:p>
      <w:pPr>
        <w:pStyle w:val="null3"/>
      </w:pPr>
      <w:r>
        <w:rPr>
          <w:rFonts w:ascii="仿宋_GB2312" w:hAnsi="仿宋_GB2312" w:cs="仿宋_GB2312" w:eastAsia="仿宋_GB2312"/>
        </w:rPr>
        <w:t>地址：西安市新城区石家街东岸国际2711室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499,819.70</w:t>
      </w:r>
    </w:p>
    <w:p>
      <w:pPr>
        <w:pStyle w:val="null3"/>
      </w:pPr>
      <w:r>
        <w:rPr>
          <w:rFonts w:ascii="仿宋_GB2312" w:hAnsi="仿宋_GB2312" w:cs="仿宋_GB2312" w:eastAsia="仿宋_GB2312"/>
        </w:rPr>
        <w:t>采购包最高限价（元）: 499,819.70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郭村广场硬化及小花园 小菜园建设项目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499,819.70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标的名称：郭村广场硬化及小花园 小菜园建设项目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both"/>
            </w:pPr>
            <w:r>
              <w:rPr>
                <w:rFonts w:ascii="仿宋_GB2312" w:hAnsi="仿宋_GB2312" w:cs="仿宋_GB2312" w:eastAsia="仿宋_GB2312"/>
                <w:sz w:val="18"/>
                <w:b/>
              </w:rPr>
              <w:t>一、项目概况</w:t>
            </w:r>
          </w:p>
          <w:p>
            <w:pPr>
              <w:pStyle w:val="null3"/>
              <w:ind w:firstLine="480"/>
              <w:jc w:val="both"/>
            </w:pPr>
            <w:r>
              <w:rPr>
                <w:rFonts w:ascii="仿宋_GB2312" w:hAnsi="仿宋_GB2312" w:cs="仿宋_GB2312" w:eastAsia="仿宋_GB2312"/>
                <w:sz w:val="18"/>
              </w:rPr>
              <w:t>蓝田县</w:t>
            </w:r>
            <w:r>
              <w:rPr>
                <w:rFonts w:ascii="仿宋_GB2312" w:hAnsi="仿宋_GB2312" w:cs="仿宋_GB2312" w:eastAsia="仿宋_GB2312"/>
                <w:sz w:val="18"/>
              </w:rPr>
              <w:t>郭村广场硬化及小花园、小菜园建设项目</w:t>
            </w:r>
            <w:r>
              <w:rPr>
                <w:rFonts w:ascii="仿宋_GB2312" w:hAnsi="仿宋_GB2312" w:cs="仿宋_GB2312" w:eastAsia="仿宋_GB2312"/>
                <w:sz w:val="18"/>
              </w:rPr>
              <w:t>，硬化村级活动广场，拆除残垣断壁，平整</w:t>
            </w:r>
            <w:r>
              <w:rPr>
                <w:rFonts w:ascii="仿宋_GB2312" w:hAnsi="仿宋_GB2312" w:cs="仿宋_GB2312" w:eastAsia="仿宋_GB2312"/>
                <w:sz w:val="18"/>
              </w:rPr>
              <w:t>40户群众房前屋后土地，修建小花园、小果园、小菜园。</w:t>
            </w:r>
          </w:p>
          <w:p>
            <w:pPr>
              <w:pStyle w:val="null3"/>
              <w:spacing w:before="315"/>
              <w:ind w:left="420"/>
              <w:jc w:val="both"/>
            </w:pPr>
            <w:r>
              <w:rPr>
                <w:rFonts w:ascii="仿宋_GB2312" w:hAnsi="仿宋_GB2312" w:cs="仿宋_GB2312" w:eastAsia="仿宋_GB2312"/>
                <w:sz w:val="18"/>
                <w:b/>
              </w:rPr>
              <w:t>二、工程内容和施工地点、计划工期、缺陷责任期、质量保修期</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主要建设内容：硬化村级活动广场</w:t>
            </w:r>
            <w:r>
              <w:rPr>
                <w:rFonts w:ascii="仿宋_GB2312" w:hAnsi="仿宋_GB2312" w:cs="仿宋_GB2312" w:eastAsia="仿宋_GB2312"/>
                <w:sz w:val="18"/>
              </w:rPr>
              <w:t>500平方米</w:t>
            </w:r>
            <w:r>
              <w:rPr>
                <w:rFonts w:ascii="仿宋_GB2312" w:hAnsi="仿宋_GB2312" w:cs="仿宋_GB2312" w:eastAsia="仿宋_GB2312"/>
                <w:sz w:val="18"/>
              </w:rPr>
              <w:t>，</w:t>
            </w:r>
            <w:r>
              <w:rPr>
                <w:rFonts w:ascii="仿宋_GB2312" w:hAnsi="仿宋_GB2312" w:cs="仿宋_GB2312" w:eastAsia="仿宋_GB2312"/>
                <w:sz w:val="18"/>
              </w:rPr>
              <w:t>拆除残垣断壁平整</w:t>
            </w:r>
            <w:r>
              <w:rPr>
                <w:rFonts w:ascii="仿宋_GB2312" w:hAnsi="仿宋_GB2312" w:cs="仿宋_GB2312" w:eastAsia="仿宋_GB2312"/>
                <w:sz w:val="18"/>
              </w:rPr>
              <w:t>40户群众房前屋后土地共8000平方米</w:t>
            </w:r>
            <w:r>
              <w:rPr>
                <w:rFonts w:ascii="仿宋_GB2312" w:hAnsi="仿宋_GB2312" w:cs="仿宋_GB2312" w:eastAsia="仿宋_GB2312"/>
                <w:sz w:val="18"/>
              </w:rPr>
              <w:t>，</w:t>
            </w:r>
            <w:r>
              <w:rPr>
                <w:rFonts w:ascii="仿宋_GB2312" w:hAnsi="仿宋_GB2312" w:cs="仿宋_GB2312" w:eastAsia="仿宋_GB2312"/>
                <w:sz w:val="18"/>
              </w:rPr>
              <w:t>修建小花园</w:t>
            </w:r>
            <w:r>
              <w:rPr>
                <w:rFonts w:ascii="仿宋_GB2312" w:hAnsi="仿宋_GB2312" w:cs="仿宋_GB2312" w:eastAsia="仿宋_GB2312"/>
                <w:sz w:val="18"/>
              </w:rPr>
              <w:t>2600平方米</w:t>
            </w:r>
            <w:r>
              <w:rPr>
                <w:rFonts w:ascii="仿宋_GB2312" w:hAnsi="仿宋_GB2312" w:cs="仿宋_GB2312" w:eastAsia="仿宋_GB2312"/>
                <w:sz w:val="18"/>
              </w:rPr>
              <w:t>、</w:t>
            </w:r>
            <w:r>
              <w:rPr>
                <w:rFonts w:ascii="仿宋_GB2312" w:hAnsi="仿宋_GB2312" w:cs="仿宋_GB2312" w:eastAsia="仿宋_GB2312"/>
                <w:sz w:val="18"/>
              </w:rPr>
              <w:t>小果园</w:t>
            </w:r>
            <w:r>
              <w:rPr>
                <w:rFonts w:ascii="仿宋_GB2312" w:hAnsi="仿宋_GB2312" w:cs="仿宋_GB2312" w:eastAsia="仿宋_GB2312"/>
                <w:sz w:val="18"/>
              </w:rPr>
              <w:t>2200平方米</w:t>
            </w:r>
            <w:r>
              <w:rPr>
                <w:rFonts w:ascii="仿宋_GB2312" w:hAnsi="仿宋_GB2312" w:cs="仿宋_GB2312" w:eastAsia="仿宋_GB2312"/>
                <w:sz w:val="18"/>
              </w:rPr>
              <w:t>、</w:t>
            </w:r>
            <w:r>
              <w:rPr>
                <w:rFonts w:ascii="仿宋_GB2312" w:hAnsi="仿宋_GB2312" w:cs="仿宋_GB2312" w:eastAsia="仿宋_GB2312"/>
                <w:sz w:val="18"/>
              </w:rPr>
              <w:t>小菜园</w:t>
            </w:r>
            <w:r>
              <w:rPr>
                <w:rFonts w:ascii="仿宋_GB2312" w:hAnsi="仿宋_GB2312" w:cs="仿宋_GB2312" w:eastAsia="仿宋_GB2312"/>
                <w:sz w:val="18"/>
              </w:rPr>
              <w:t>3000平方米。</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工程地点：</w:t>
            </w:r>
            <w:r>
              <w:rPr>
                <w:rFonts w:ascii="仿宋_GB2312" w:hAnsi="仿宋_GB2312" w:cs="仿宋_GB2312" w:eastAsia="仿宋_GB2312"/>
                <w:sz w:val="18"/>
              </w:rPr>
              <w:t>蓝田县</w:t>
            </w:r>
            <w:r>
              <w:rPr>
                <w:rFonts w:ascii="仿宋_GB2312" w:hAnsi="仿宋_GB2312" w:cs="仿宋_GB2312" w:eastAsia="仿宋_GB2312"/>
                <w:sz w:val="18"/>
              </w:rPr>
              <w:t>安村镇</w:t>
            </w:r>
            <w:r>
              <w:rPr>
                <w:rFonts w:ascii="仿宋_GB2312" w:hAnsi="仿宋_GB2312" w:cs="仿宋_GB2312" w:eastAsia="仿宋_GB2312"/>
                <w:sz w:val="18"/>
              </w:rPr>
              <w:t>郭村</w:t>
            </w:r>
            <w:r>
              <w:rPr>
                <w:rFonts w:ascii="仿宋_GB2312" w:hAnsi="仿宋_GB2312" w:cs="仿宋_GB2312" w:eastAsia="仿宋_GB2312"/>
                <w:sz w:val="18"/>
              </w:rPr>
              <w:t>。</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）工期：</w:t>
            </w:r>
            <w:r>
              <w:rPr>
                <w:rFonts w:ascii="仿宋_GB2312" w:hAnsi="仿宋_GB2312" w:cs="仿宋_GB2312" w:eastAsia="仿宋_GB2312"/>
                <w:sz w:val="18"/>
              </w:rPr>
              <w:t>自</w:t>
            </w:r>
            <w:r>
              <w:rPr>
                <w:rFonts w:ascii="仿宋_GB2312" w:hAnsi="仿宋_GB2312" w:cs="仿宋_GB2312" w:eastAsia="仿宋_GB2312"/>
                <w:sz w:val="18"/>
              </w:rPr>
              <w:t>合同签订</w:t>
            </w:r>
            <w:r>
              <w:rPr>
                <w:rFonts w:ascii="仿宋_GB2312" w:hAnsi="仿宋_GB2312" w:cs="仿宋_GB2312" w:eastAsia="仿宋_GB2312"/>
                <w:sz w:val="18"/>
              </w:rPr>
              <w:t>之日起</w:t>
            </w:r>
            <w:r>
              <w:rPr>
                <w:rFonts w:ascii="仿宋_GB2312" w:hAnsi="仿宋_GB2312" w:cs="仿宋_GB2312" w:eastAsia="仿宋_GB2312"/>
                <w:sz w:val="18"/>
              </w:rPr>
              <w:t>45个日历天</w:t>
            </w:r>
            <w:r>
              <w:rPr>
                <w:rFonts w:ascii="仿宋_GB2312" w:hAnsi="仿宋_GB2312" w:cs="仿宋_GB2312" w:eastAsia="仿宋_GB2312"/>
                <w:sz w:val="18"/>
              </w:rPr>
              <w:t>。</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）质量保修期</w:t>
            </w:r>
            <w:r>
              <w:rPr>
                <w:rFonts w:ascii="仿宋_GB2312" w:hAnsi="仿宋_GB2312" w:cs="仿宋_GB2312" w:eastAsia="仿宋_GB2312"/>
                <w:sz w:val="18"/>
              </w:rPr>
              <w:t>：</w:t>
            </w:r>
            <w:r>
              <w:rPr>
                <w:rFonts w:ascii="仿宋_GB2312" w:hAnsi="仿宋_GB2312" w:cs="仿宋_GB2312" w:eastAsia="仿宋_GB2312"/>
                <w:sz w:val="18"/>
              </w:rPr>
              <w:t>自本项目竣工验收合格之日起一年</w:t>
            </w:r>
            <w:r>
              <w:rPr>
                <w:rFonts w:ascii="仿宋_GB2312" w:hAnsi="仿宋_GB2312" w:cs="仿宋_GB2312" w:eastAsia="仿宋_GB2312"/>
                <w:sz w:val="18"/>
              </w:rPr>
              <w:t>。</w:t>
            </w:r>
          </w:p>
          <w:p>
            <w:pPr>
              <w:pStyle w:val="null3"/>
              <w:spacing w:before="315"/>
              <w:ind w:left="420"/>
              <w:jc w:val="both"/>
            </w:pPr>
            <w:r>
              <w:rPr>
                <w:rFonts w:ascii="仿宋_GB2312" w:hAnsi="仿宋_GB2312" w:cs="仿宋_GB2312" w:eastAsia="仿宋_GB2312"/>
                <w:sz w:val="18"/>
                <w:b/>
              </w:rPr>
              <w:t>三、工程量清单和计价依据</w:t>
            </w:r>
          </w:p>
          <w:p>
            <w:pPr>
              <w:pStyle w:val="null3"/>
              <w:ind w:firstLine="480"/>
            </w:pPr>
            <w:r>
              <w:rPr>
                <w:rFonts w:ascii="仿宋_GB2312" w:hAnsi="仿宋_GB2312" w:cs="仿宋_GB2312" w:eastAsia="仿宋_GB2312"/>
                <w:sz w:val="18"/>
              </w:rPr>
              <w:t>（一）计价依据：</w:t>
            </w:r>
            <w:r>
              <w:rPr>
                <w:rFonts w:ascii="仿宋_GB2312" w:hAnsi="仿宋_GB2312" w:cs="仿宋_GB2312" w:eastAsia="仿宋_GB2312"/>
                <w:sz w:val="18"/>
              </w:rPr>
              <w:t>见附件</w:t>
            </w:r>
          </w:p>
          <w:p>
            <w:pPr>
              <w:pStyle w:val="null3"/>
              <w:ind w:firstLine="480"/>
            </w:pPr>
            <w:r>
              <w:rPr>
                <w:rFonts w:ascii="仿宋_GB2312" w:hAnsi="仿宋_GB2312" w:cs="仿宋_GB2312" w:eastAsia="仿宋_GB2312"/>
                <w:sz w:val="18"/>
              </w:rPr>
              <w:t>（二）工程量清单：</w:t>
            </w:r>
            <w:r>
              <w:rPr>
                <w:rFonts w:ascii="仿宋_GB2312" w:hAnsi="仿宋_GB2312" w:cs="仿宋_GB2312" w:eastAsia="仿宋_GB2312"/>
                <w:sz w:val="18"/>
              </w:rPr>
              <w:t>见附件</w:t>
            </w:r>
          </w:p>
          <w:p>
            <w:pPr>
              <w:pStyle w:val="null3"/>
              <w:spacing w:before="315"/>
              <w:ind w:left="420"/>
              <w:jc w:val="both"/>
            </w:pPr>
            <w:r>
              <w:rPr>
                <w:rFonts w:ascii="仿宋_GB2312" w:hAnsi="仿宋_GB2312" w:cs="仿宋_GB2312" w:eastAsia="仿宋_GB2312"/>
                <w:sz w:val="18"/>
                <w:b/>
              </w:rPr>
              <w:t>四、施工要求</w:t>
            </w:r>
          </w:p>
          <w:p>
            <w:pPr>
              <w:pStyle w:val="null3"/>
              <w:ind w:firstLine="480"/>
            </w:pPr>
            <w:r>
              <w:rPr>
                <w:rFonts w:ascii="仿宋_GB2312" w:hAnsi="仿宋_GB2312" w:cs="仿宋_GB2312" w:eastAsia="仿宋_GB2312"/>
                <w:sz w:val="18"/>
              </w:rPr>
              <w:t>在施工期间，必须注意人员安全，加强安全措施，并对施工人员进行安全教育。施工人员必须持证上岗</w:t>
            </w:r>
            <w:r>
              <w:rPr>
                <w:rFonts w:ascii="仿宋_GB2312" w:hAnsi="仿宋_GB2312" w:cs="仿宋_GB2312" w:eastAsia="仿宋_GB2312"/>
                <w:sz w:val="18"/>
              </w:rPr>
              <w:t>，</w:t>
            </w:r>
            <w:r>
              <w:rPr>
                <w:rFonts w:ascii="仿宋_GB2312" w:hAnsi="仿宋_GB2312" w:cs="仿宋_GB2312" w:eastAsia="仿宋_GB2312"/>
                <w:sz w:val="18"/>
              </w:rPr>
              <w:t>要求在施工中做到封闭性施工。</w:t>
            </w:r>
          </w:p>
          <w:p>
            <w:pPr>
              <w:pStyle w:val="null3"/>
              <w:spacing w:before="315"/>
              <w:ind w:left="420"/>
              <w:jc w:val="both"/>
            </w:pPr>
            <w:r>
              <w:rPr>
                <w:rFonts w:ascii="仿宋_GB2312" w:hAnsi="仿宋_GB2312" w:cs="仿宋_GB2312" w:eastAsia="仿宋_GB2312"/>
                <w:sz w:val="18"/>
                <w:b/>
              </w:rPr>
              <w:t>五、商务要求</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款项结算：</w:t>
            </w:r>
          </w:p>
          <w:p>
            <w:pPr>
              <w:pStyle w:val="null3"/>
              <w:ind w:firstLine="480"/>
            </w:pPr>
            <w:r>
              <w:rPr>
                <w:rFonts w:ascii="仿宋_GB2312" w:hAnsi="仿宋_GB2312" w:cs="仿宋_GB2312" w:eastAsia="仿宋_GB2312"/>
                <w:sz w:val="18"/>
              </w:rPr>
              <w:t>合同签订后，采购人</w:t>
            </w:r>
            <w:r>
              <w:rPr>
                <w:rFonts w:ascii="仿宋_GB2312" w:hAnsi="仿宋_GB2312" w:cs="仿宋_GB2312" w:eastAsia="仿宋_GB2312"/>
                <w:sz w:val="18"/>
              </w:rPr>
              <w:t>10</w:t>
            </w:r>
            <w:r>
              <w:rPr>
                <w:rFonts w:ascii="仿宋_GB2312" w:hAnsi="仿宋_GB2312" w:cs="仿宋_GB2312" w:eastAsia="仿宋_GB2312"/>
                <w:sz w:val="18"/>
              </w:rPr>
              <w:t>个工作日内支付成交供应商合同价的</w:t>
            </w:r>
            <w:r>
              <w:rPr>
                <w:rFonts w:ascii="仿宋_GB2312" w:hAnsi="仿宋_GB2312" w:cs="仿宋_GB2312" w:eastAsia="仿宋_GB2312"/>
                <w:sz w:val="18"/>
              </w:rPr>
              <w:t>3</w:t>
            </w:r>
            <w:r>
              <w:rPr>
                <w:rFonts w:ascii="仿宋_GB2312" w:hAnsi="仿宋_GB2312" w:cs="仿宋_GB2312" w:eastAsia="仿宋_GB2312"/>
                <w:sz w:val="18"/>
              </w:rPr>
              <w:t>0%作为工程预付款，施工进度款按工程实际进度按月支付，支付至合同价的</w:t>
            </w:r>
            <w:r>
              <w:rPr>
                <w:rFonts w:ascii="仿宋_GB2312" w:hAnsi="仿宋_GB2312" w:cs="仿宋_GB2312" w:eastAsia="仿宋_GB2312"/>
                <w:sz w:val="18"/>
              </w:rPr>
              <w:t>8</w:t>
            </w:r>
            <w:r>
              <w:rPr>
                <w:rFonts w:ascii="仿宋_GB2312" w:hAnsi="仿宋_GB2312" w:cs="仿宋_GB2312" w:eastAsia="仿宋_GB2312"/>
                <w:sz w:val="18"/>
              </w:rPr>
              <w:t>0%后暂停支付；竣工验收合格后成交供应商报送结算资料，结算资料经审定后15个工作日内支付至审定总价款的97%，质保期结束后</w:t>
            </w:r>
            <w:r>
              <w:rPr>
                <w:rFonts w:ascii="仿宋_GB2312" w:hAnsi="仿宋_GB2312" w:cs="仿宋_GB2312" w:eastAsia="仿宋_GB2312"/>
                <w:sz w:val="18"/>
              </w:rPr>
              <w:t>支</w:t>
            </w:r>
            <w:r>
              <w:rPr>
                <w:rFonts w:ascii="仿宋_GB2312" w:hAnsi="仿宋_GB2312" w:cs="仿宋_GB2312" w:eastAsia="仿宋_GB2312"/>
                <w:sz w:val="18"/>
              </w:rPr>
              <w:t>付剩余</w:t>
            </w:r>
            <w:r>
              <w:rPr>
                <w:rFonts w:ascii="仿宋_GB2312" w:hAnsi="仿宋_GB2312" w:cs="仿宋_GB2312" w:eastAsia="仿宋_GB2312"/>
                <w:sz w:val="18"/>
              </w:rPr>
              <w:t>3%。</w:t>
            </w:r>
          </w:p>
          <w:p>
            <w:pPr>
              <w:pStyle w:val="null3"/>
              <w:spacing w:before="315"/>
              <w:ind w:left="420"/>
              <w:jc w:val="both"/>
            </w:pPr>
            <w:r>
              <w:rPr>
                <w:rFonts w:ascii="仿宋_GB2312" w:hAnsi="仿宋_GB2312" w:cs="仿宋_GB2312" w:eastAsia="仿宋_GB2312"/>
                <w:sz w:val="18"/>
                <w:b/>
              </w:rPr>
              <w:t>六、其他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）质量验收标准或规范</w:t>
            </w:r>
          </w:p>
          <w:p>
            <w:pPr>
              <w:pStyle w:val="null3"/>
              <w:ind w:firstLine="240"/>
              <w:jc w:val="both"/>
            </w:pPr>
            <w:r>
              <w:rPr>
                <w:rFonts w:ascii="仿宋_GB2312" w:hAnsi="仿宋_GB2312" w:cs="仿宋_GB2312" w:eastAsia="仿宋_GB2312"/>
                <w:sz w:val="18"/>
              </w:rPr>
              <w:t>必须达到国家及行业现行技术规范标准，符合国家及行业验收合格标准</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）违约责任</w:t>
            </w:r>
          </w:p>
          <w:p>
            <w:pPr>
              <w:pStyle w:val="null3"/>
              <w:ind w:firstLine="480"/>
              <w:jc w:val="both"/>
            </w:pPr>
            <w:r>
              <w:rPr>
                <w:rFonts w:ascii="仿宋_GB2312" w:hAnsi="仿宋_GB2312" w:cs="仿宋_GB2312" w:eastAsia="仿宋_GB2312"/>
                <w:sz w:val="18"/>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w:t>
            </w:r>
          </w:p>
          <w:p>
            <w:pPr>
              <w:pStyle w:val="null3"/>
              <w:ind w:firstLine="480"/>
              <w:jc w:val="both"/>
            </w:pPr>
            <w:r>
              <w:rPr>
                <w:rFonts w:ascii="仿宋_GB2312" w:hAnsi="仿宋_GB2312" w:cs="仿宋_GB2312" w:eastAsia="仿宋_GB2312"/>
                <w:sz w:val="18"/>
              </w:rPr>
              <w:t>采购人违约的，应当赔偿给成交供应商造成的经济损失。合同执行中发生争议的，当事人双方应协商解决，协商达不成一致时，可</w:t>
            </w:r>
            <w:r>
              <w:rPr>
                <w:rFonts w:ascii="仿宋_GB2312" w:hAnsi="仿宋_GB2312" w:cs="仿宋_GB2312" w:eastAsia="仿宋_GB2312"/>
                <w:sz w:val="18"/>
              </w:rPr>
              <w:t>向西安仲裁委员会提请仲裁</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验收</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在工程项目完成后，按照合同、设计文件、技术规范和相关法律法规，对工程的质量、功能、安全等方面进行全面检查和确认。确保工程符合设计要求，达到使用标准，具备交付使用条件</w:t>
            </w:r>
            <w:r>
              <w:rPr>
                <w:rFonts w:ascii="仿宋_GB2312" w:hAnsi="仿宋_GB2312" w:cs="仿宋_GB2312" w:eastAsia="仿宋_GB2312"/>
                <w:sz w:val="18"/>
              </w:rPr>
              <w:t>。</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验收不合格的立即整改，</w:t>
            </w:r>
            <w:r>
              <w:rPr>
                <w:rFonts w:ascii="仿宋_GB2312" w:hAnsi="仿宋_GB2312" w:cs="仿宋_GB2312" w:eastAsia="仿宋_GB2312"/>
                <w:sz w:val="18"/>
              </w:rPr>
              <w:t>必须在接到通知后</w:t>
            </w:r>
            <w:r>
              <w:rPr>
                <w:rFonts w:ascii="仿宋_GB2312" w:hAnsi="仿宋_GB2312" w:cs="仿宋_GB2312" w:eastAsia="仿宋_GB2312"/>
                <w:sz w:val="18"/>
              </w:rPr>
              <w:t>7 个日历天内确保通过验收。</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验收依据</w:t>
            </w:r>
          </w:p>
          <w:p>
            <w:pPr>
              <w:pStyle w:val="null3"/>
              <w:ind w:firstLine="480"/>
              <w:jc w:val="both"/>
            </w:pPr>
            <w:r>
              <w:rPr>
                <w:rFonts w:ascii="仿宋_GB2312" w:hAnsi="仿宋_GB2312" w:cs="仿宋_GB2312" w:eastAsia="仿宋_GB2312"/>
                <w:sz w:val="18"/>
              </w:rPr>
              <w:t>合同文本及合同补充文件（条款）</w:t>
            </w:r>
            <w:r>
              <w:rPr>
                <w:rFonts w:ascii="仿宋_GB2312" w:hAnsi="仿宋_GB2312" w:cs="仿宋_GB2312" w:eastAsia="仿宋_GB2312"/>
                <w:sz w:val="18"/>
              </w:rPr>
              <w:t>、</w:t>
            </w:r>
            <w:r>
              <w:rPr>
                <w:rFonts w:ascii="仿宋_GB2312" w:hAnsi="仿宋_GB2312" w:cs="仿宋_GB2312" w:eastAsia="仿宋_GB2312"/>
                <w:sz w:val="18"/>
              </w:rPr>
              <w:t>招标文件</w:t>
            </w:r>
            <w:r>
              <w:rPr>
                <w:rFonts w:ascii="仿宋_GB2312" w:hAnsi="仿宋_GB2312" w:cs="仿宋_GB2312" w:eastAsia="仿宋_GB2312"/>
                <w:sz w:val="18"/>
              </w:rPr>
              <w:t>、</w:t>
            </w:r>
            <w:r>
              <w:rPr>
                <w:rFonts w:ascii="仿宋_GB2312" w:hAnsi="仿宋_GB2312" w:cs="仿宋_GB2312" w:eastAsia="仿宋_GB2312"/>
                <w:sz w:val="18"/>
              </w:rPr>
              <w:t>投标文件</w:t>
            </w:r>
            <w:r>
              <w:rPr>
                <w:rFonts w:ascii="仿宋_GB2312" w:hAnsi="仿宋_GB2312" w:cs="仿宋_GB2312" w:eastAsia="仿宋_GB2312"/>
                <w:sz w:val="18"/>
              </w:rPr>
              <w:t>、</w:t>
            </w:r>
            <w:r>
              <w:rPr>
                <w:rFonts w:ascii="仿宋_GB2312" w:hAnsi="仿宋_GB2312" w:cs="仿宋_GB2312" w:eastAsia="仿宋_GB2312"/>
                <w:sz w:val="18"/>
              </w:rPr>
              <w:t>《建设工程质量管理条例》、《建筑工程施工质量验收统一标准》</w:t>
            </w:r>
            <w:r>
              <w:rPr>
                <w:rFonts w:ascii="仿宋_GB2312" w:hAnsi="仿宋_GB2312" w:cs="仿宋_GB2312" w:eastAsia="仿宋_GB2312"/>
                <w:sz w:val="18"/>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（2）税收缴纳证明：供应商需提供磋商截止日期前6个月内任意一个月的完税凭证或税务机关开具的完税证明任意税种；依法免税的应提供相关文件证明； （3）社会保障资金缴纳证明：供应商需提供磋商截止日期前6个月内任意一个月的社会保障资金缴存单据或社保机构开具的社会保险参保缴费情况证明；依法不需要缴纳社会保障资金的应提供相关文件证明；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磋商时间不足一年的可提供成立后任意时段的资产负债表和利润表）或磋商前六个月内其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具备建设行政主管部门核发的市政公用工程施工总承包三级（含三级）以上资质，且具备合格有效的安全生产许可证；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拟派项目经理须具备市政公用工程专业二级及以上注册建造师证书和有效的安全生产考核合格证，在本单位注册且无在建工程（提供无在建工程承诺书）；</w:t>
            </w:r>
          </w:p>
        </w:tc>
        <w:tc>
          <w:tcPr>
            <w:tcW w:type="dxa" w:w="1661"/>
          </w:tcPr>
          <w:p>
            <w:pPr>
              <w:pStyle w:val="null3"/>
            </w:pPr>
            <w:r>
              <w:rPr>
                <w:rFonts w:ascii="仿宋_GB2312" w:hAnsi="仿宋_GB2312" w:cs="仿宋_GB2312" w:eastAsia="仿宋_GB2312"/>
              </w:rPr>
              <w:t>项目管理机构组成表 主要人员简历表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1）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磋商响应文件内需法定代表人或其授权代表人的签字或盖章的地方需签字或盖章齐全，需加盖公章的地方加盖齐全 ；</w:t>
            </w:r>
          </w:p>
        </w:tc>
        <w:tc>
          <w:tcPr>
            <w:tcW w:type="dxa" w:w="1661"/>
          </w:tcPr>
          <w:p>
            <w:pPr>
              <w:pStyle w:val="null3"/>
            </w:pPr>
            <w:r>
              <w:rPr>
                <w:rFonts w:ascii="仿宋_GB2312" w:hAnsi="仿宋_GB2312" w:cs="仿宋_GB2312" w:eastAsia="仿宋_GB2312"/>
              </w:rPr>
              <w:t>中小企业声明函 工程量清单.docx 技术服务合同条款及其他商务要求应答表 其他相关资料.docx 资格证明文件.docx 响应文件封面 项目管理机构组成表 技术响应方案.docx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技术响应方案.docx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工程量清单.docx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 xml:space="preserve"> 要求商务条款全部响应，不能有采购人不能接受的附加条件；</w:t>
            </w:r>
          </w:p>
        </w:tc>
        <w:tc>
          <w:tcPr>
            <w:tcW w:type="dxa" w:w="1661"/>
          </w:tcPr>
          <w:p>
            <w:pPr>
              <w:pStyle w:val="null3"/>
            </w:pPr>
            <w:r>
              <w:rPr>
                <w:rFonts w:ascii="仿宋_GB2312" w:hAnsi="仿宋_GB2312" w:cs="仿宋_GB2312" w:eastAsia="仿宋_GB2312"/>
              </w:rPr>
              <w:t>中小企业声明函 工程量清单.docx 技术服务合同条款及其他商务要求应答表 其他相关资料.docx 资格证明文件.docx 响应文件封面 项目管理机构组成表 技术响应方案.docx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工程量清单.docx 技术服务合同条款及其他商务要求应答表 其他相关资料.docx 资格证明文件.docx 响应文件封面 项目管理机构组成表 技术响应方案.docx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工程量清单.docx 技术服务合同条款及其他商务要求应答表 其他相关资料.docx 资格证明文件.docx 响应文件封面 项目管理机构组成表 技术响应方案.docx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一、评审内容：施工方案内容至少包括：①施工进度表或施工网络图；②施工准备及进度安排;③施工方法；④重点难点工程分析及解决措施；⑤影响正常施工外在因素分析及对应预案等。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施工机械配置投入计划</w:t>
            </w:r>
          </w:p>
        </w:tc>
        <w:tc>
          <w:tcPr>
            <w:tcW w:type="dxa" w:w="2492"/>
          </w:tcPr>
          <w:p>
            <w:pPr>
              <w:pStyle w:val="null3"/>
            </w:pPr>
            <w:r>
              <w:rPr>
                <w:rFonts w:ascii="仿宋_GB2312" w:hAnsi="仿宋_GB2312" w:cs="仿宋_GB2312" w:eastAsia="仿宋_GB2312"/>
              </w:rPr>
              <w:t>一、评审内容： 内容至少包括①施工机械配置计划； ②施工机械的维护保养和材料的贮存；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项目组人员配置合理、专业对口、满足项目实施要求得3.5分，至少配备技术负责人、安全员、质量员、施工员、造价员、材料员、资料员。每缺一人扣0.5分，扣完为止。 项目组成员中有人具有相关专业中级及以上职称得1分，最高得2分。 需提供配备人员身份证、学历证、专业技术资格证、职称证（如有）等证明材料的复印件并加盖单位公章）</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1.项目经理具有类似项目业绩1个计1.5分，最多得3分； 赋分依据：提供合同复印件或中标通知书复印件（复印件至少含合同首页，反映项目经理姓名关键页，双方签字盖章页），需加盖供应商公章。 2.具有相关专业中级职称得1.5分，高级职称得2.5分。（注：以加盖公章的职称证复印件为准。）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2023年1月1日至今，供应商具有类似项目业绩，一份类似项目业绩得2分，本项最高6分。 赋分依据：加盖公章的合同复印件或中标通知书复印件（时间以合同复印件或中标通知书签订为准。）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详见附件：其他相关资料.docx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