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版本号：JXZB2026-03-0420260316003</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秦家寨村增设路灯项目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JXZB2026-03-04</w:t>
      </w:r>
      <w:r>
        <w:br/>
      </w:r>
      <w:r>
        <w:br/>
      </w:r>
      <w:r>
        <w:br/>
      </w:r>
    </w:p>
    <w:p>
      <w:pPr>
        <w:pStyle w:val="null3"/>
        <w:jc w:val="center"/>
        <w:outlineLvl w:val="2"/>
      </w:pPr>
      <w:r>
        <w:rPr>
          <w:rFonts w:ascii="仿宋_GB2312" w:hAnsi="仿宋_GB2312" w:cs="仿宋_GB2312" w:eastAsia="仿宋_GB2312"/>
          <w:sz w:val="28"/>
          <w:b/>
        </w:rPr>
        <w:t>西安市蓝田县三里镇人民政府（本级）</w:t>
      </w:r>
    </w:p>
    <w:p>
      <w:pPr>
        <w:pStyle w:val="null3"/>
        <w:jc w:val="center"/>
        <w:outlineLvl w:val="2"/>
      </w:pPr>
      <w:r>
        <w:rPr>
          <w:rFonts w:ascii="仿宋_GB2312" w:hAnsi="仿宋_GB2312" w:cs="仿宋_GB2312" w:eastAsia="仿宋_GB2312"/>
          <w:sz w:val="28"/>
          <w:b/>
        </w:rPr>
        <w:t>建信众诚工程咨询有限公司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建信众诚工程咨询有限公司</w:t>
      </w:r>
      <w:r>
        <w:rPr>
          <w:rFonts w:ascii="仿宋_GB2312" w:hAnsi="仿宋_GB2312" w:cs="仿宋_GB2312" w:eastAsia="仿宋_GB2312"/>
        </w:rPr>
        <w:t>（以下简称“代理机构”）受</w:t>
      </w:r>
      <w:r>
        <w:rPr>
          <w:rFonts w:ascii="仿宋_GB2312" w:hAnsi="仿宋_GB2312" w:cs="仿宋_GB2312" w:eastAsia="仿宋_GB2312"/>
        </w:rPr>
        <w:t>西安市蓝田县三里镇人民政府（本级）</w:t>
      </w:r>
      <w:r>
        <w:rPr>
          <w:rFonts w:ascii="仿宋_GB2312" w:hAnsi="仿宋_GB2312" w:cs="仿宋_GB2312" w:eastAsia="仿宋_GB2312"/>
        </w:rPr>
        <w:t>委托，拟对</w:t>
      </w:r>
      <w:r>
        <w:rPr>
          <w:rFonts w:ascii="仿宋_GB2312" w:hAnsi="仿宋_GB2312" w:cs="仿宋_GB2312" w:eastAsia="仿宋_GB2312"/>
        </w:rPr>
        <w:t>秦家寨村增设路灯项目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JXZB2026-03-04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秦家寨村增设路灯项目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本项目为秦家寨村增设路灯项目，范围包括内容:增设村内主要干道路灯200盏，具体详见设计图纸。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采购包1（秦家寨村增设路灯项目）：属于专门面向中小企业采购。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1、法定代表人授权书或法定代表人身份证明：法定代表人授权书（法定代表人直接参加谈判，须提供法定代表人资格证明书）；</w:t>
      </w:r>
    </w:p>
    <w:p>
      <w:pPr>
        <w:pStyle w:val="null3"/>
      </w:pPr>
      <w:r>
        <w:rPr>
          <w:rFonts w:ascii="仿宋_GB2312" w:hAnsi="仿宋_GB2312" w:cs="仿宋_GB2312" w:eastAsia="仿宋_GB2312"/>
        </w:rPr>
        <w:t>2、失信查询：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代理机构在提交响应文件截止当日查询结果为准）；</w:t>
      </w:r>
    </w:p>
    <w:p>
      <w:pPr>
        <w:pStyle w:val="null3"/>
      </w:pPr>
      <w:r>
        <w:rPr>
          <w:rFonts w:ascii="仿宋_GB2312" w:hAnsi="仿宋_GB2312" w:cs="仿宋_GB2312" w:eastAsia="仿宋_GB2312"/>
        </w:rPr>
        <w:t>3、承诺：本项目不接受联合体谈判，单位负责人为同一人或者存在直接控股、管理关系的不同供应商，不得参加同一合同项下的政府采购活动；</w:t>
      </w:r>
    </w:p>
    <w:p>
      <w:pPr>
        <w:pStyle w:val="null3"/>
      </w:pPr>
      <w:r>
        <w:rPr>
          <w:rFonts w:ascii="仿宋_GB2312" w:hAnsi="仿宋_GB2312" w:cs="仿宋_GB2312" w:eastAsia="仿宋_GB2312"/>
        </w:rPr>
        <w:t>4、中小企业声明函：本项目专门面向中小企业采购，仅限符合《政府采购促进中小企业发展管理办法》的通知(财库〔2020〕46 号) 条件的中小企业参与，残疾人福利企业、监狱企业视同中小企业。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西安市蓝田县三里镇人民政府（本级）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蓝田县三里镇温泉路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林伟达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029-82721359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建信众诚工程咨询有限公司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西安市雁塔区中国科学院地球环境研究所南边和谐国际2栋301室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雷芳娟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15529558166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王树刚</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采购包1：652,000.00元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以本次项目成交金额为基数，招标代理报酬依据国家计委颁布的《招标代理服务收费管理暂行办法》（计价格〔2002〕1980号）和（发改办价格〔2003〕857号）货物收费标准计取（不足捌仟按照捌仟计取）； 2.招标代理服务费由成交供应商支付，在领取《成交通知书》前，由成交供应商一次性支付给建信众诚工程咨询有限公司。3.招标代理服务费缴纳账户，开户名称：建信众诚工程咨询有限公司，开户银行：西安银行股份有限公司东二环南段支行，账号：209011580000085788 注：成交公示结束后，成交供应商须提供纸质响应文件3套及电子版U盘2个（电子版文件为Word版响应文件及使用编标工具软件编制并导出的签章版PDF）交由采购代理机构。成交供应商对所提供资料的真实性、合法性、准确性、完整性负责，无需密封。</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西安市蓝田县三里镇人民政府（本级）</w:t>
      </w:r>
      <w:r>
        <w:rPr>
          <w:rFonts w:ascii="仿宋_GB2312" w:hAnsi="仿宋_GB2312" w:cs="仿宋_GB2312" w:eastAsia="仿宋_GB2312"/>
        </w:rPr>
        <w:t>和</w:t>
      </w:r>
      <w:r>
        <w:rPr>
          <w:rFonts w:ascii="仿宋_GB2312" w:hAnsi="仿宋_GB2312" w:cs="仿宋_GB2312" w:eastAsia="仿宋_GB2312"/>
        </w:rPr>
        <w:t>建信众诚工程咨询有限公司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西安市蓝田县三里镇人民政府（本级）</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建信众诚工程咨询有限公司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西安市蓝田县三里镇人民政府（本级）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建信众诚工程咨询有限公司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符合现行国家相关标准、行业标准及采购人要求。根据谈判文件要求及合同约定执行。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联系人：雷芳娟</w:t>
      </w:r>
    </w:p>
    <w:p>
      <w:pPr>
        <w:pStyle w:val="null3"/>
      </w:pPr>
      <w:r>
        <w:rPr>
          <w:rFonts w:ascii="仿宋_GB2312" w:hAnsi="仿宋_GB2312" w:cs="仿宋_GB2312" w:eastAsia="仿宋_GB2312"/>
        </w:rPr>
        <w:t>联系电话：15529558166</w:t>
      </w:r>
    </w:p>
    <w:p>
      <w:pPr>
        <w:pStyle w:val="null3"/>
      </w:pPr>
      <w:r>
        <w:rPr>
          <w:rFonts w:ascii="仿宋_GB2312" w:hAnsi="仿宋_GB2312" w:cs="仿宋_GB2312" w:eastAsia="仿宋_GB2312"/>
        </w:rPr>
        <w:t>地址：西安市雁塔区中国科学院地球环境研究所南边和谐国际2栋301室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本项目为秦家寨村增设路灯项目，范围包括内容:增设村内主要干道路灯200盏，具体详见设计图纸。</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652,000.00</w:t>
      </w:r>
    </w:p>
    <w:p>
      <w:pPr>
        <w:pStyle w:val="null3"/>
      </w:pPr>
      <w:r>
        <w:rPr>
          <w:rFonts w:ascii="仿宋_GB2312" w:hAnsi="仿宋_GB2312" w:cs="仿宋_GB2312" w:eastAsia="仿宋_GB2312"/>
        </w:rPr>
        <w:t>采购包最高限价（元）: 652,000.00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秦家寨村增设路灯项目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652,000.00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标的名称：秦家寨村增设路灯项目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47"/>
              <w:gridCol w:w="1738"/>
              <w:gridCol w:w="366"/>
              <w:gridCol w:w="196"/>
            </w:tblGrid>
            <w:tr>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名称</w:t>
                  </w:r>
                </w:p>
              </w:tc>
              <w:tc>
                <w:tcPr>
                  <w:tcW w:type="dxa" w:w="17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参数</w:t>
                  </w:r>
                </w:p>
              </w:tc>
              <w:tc>
                <w:tcPr>
                  <w:tcW w:type="dxa" w:w="3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数量</w:t>
                  </w:r>
                </w:p>
              </w:tc>
            </w:tr>
            <w:tr>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太阳能路灯</w:t>
                  </w:r>
                </w:p>
              </w:tc>
              <w:tc>
                <w:tcPr>
                  <w:tcW w:type="dxa" w:w="17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1.灯</w:t>
                  </w:r>
                  <w:r>
                    <w:rPr>
                      <w:rFonts w:ascii="仿宋_GB2312" w:hAnsi="仿宋_GB2312" w:cs="仿宋_GB2312" w:eastAsia="仿宋_GB2312"/>
                      <w:sz w:val="20"/>
                      <w:color w:val="000000"/>
                    </w:rPr>
                    <w:t>头参数</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外壳</w:t>
                  </w:r>
                  <w:r>
                    <w:rPr>
                      <w:rFonts w:ascii="仿宋_GB2312" w:hAnsi="仿宋_GB2312" w:cs="仿宋_GB2312" w:eastAsia="仿宋_GB2312"/>
                      <w:sz w:val="20"/>
                      <w:color w:val="000000"/>
                    </w:rPr>
                    <w:t>：</w:t>
                  </w:r>
                  <w:r>
                    <w:rPr>
                      <w:rFonts w:ascii="仿宋_GB2312" w:hAnsi="仿宋_GB2312" w:cs="仿宋_GB2312" w:eastAsia="仿宋_GB2312"/>
                      <w:sz w:val="20"/>
                      <w:color w:val="000000"/>
                    </w:rPr>
                    <w:t>压铸铝壳</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光源：</w:t>
                  </w:r>
                  <w:r>
                    <w:rPr>
                      <w:rFonts w:ascii="仿宋_GB2312" w:hAnsi="仿宋_GB2312" w:cs="仿宋_GB2312" w:eastAsia="仿宋_GB2312"/>
                      <w:sz w:val="20"/>
                      <w:color w:val="000000"/>
                    </w:rPr>
                    <w:t>8</w:t>
                  </w:r>
                  <w:r>
                    <w:rPr>
                      <w:rFonts w:ascii="仿宋_GB2312" w:hAnsi="仿宋_GB2312" w:cs="仿宋_GB2312" w:eastAsia="仿宋_GB2312"/>
                      <w:sz w:val="20"/>
                      <w:color w:val="000000"/>
                    </w:rPr>
                    <w:t>0瓦LED灯珠</w:t>
                  </w:r>
                  <w:r>
                    <w:rPr>
                      <w:rFonts w:ascii="仿宋_GB2312" w:hAnsi="仿宋_GB2312" w:cs="仿宋_GB2312" w:eastAsia="仿宋_GB2312"/>
                      <w:sz w:val="20"/>
                      <w:color w:val="000000"/>
                    </w:rPr>
                    <w:t>；</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0"/>
                      <w:color w:val="000000"/>
                    </w:rPr>
                    <w:t>电池容量：</w:t>
                  </w:r>
                  <w:r>
                    <w:rPr>
                      <w:rFonts w:ascii="仿宋_GB2312" w:hAnsi="仿宋_GB2312" w:cs="仿宋_GB2312" w:eastAsia="仿宋_GB2312"/>
                      <w:sz w:val="20"/>
                      <w:color w:val="000000"/>
                    </w:rPr>
                    <w:t>80AH</w:t>
                  </w:r>
                  <w:r>
                    <w:rPr>
                      <w:rFonts w:ascii="仿宋_GB2312" w:hAnsi="仿宋_GB2312" w:cs="仿宋_GB2312" w:eastAsia="仿宋_GB2312"/>
                      <w:sz w:val="20"/>
                      <w:color w:val="000000"/>
                    </w:rPr>
                    <w:t>；</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0"/>
                      <w:color w:val="000000"/>
                    </w:rPr>
                    <w:t>电池电压：</w:t>
                  </w:r>
                  <w:r>
                    <w:rPr>
                      <w:rFonts w:ascii="仿宋_GB2312" w:hAnsi="仿宋_GB2312" w:cs="仿宋_GB2312" w:eastAsia="仿宋_GB2312"/>
                      <w:sz w:val="20"/>
                      <w:color w:val="000000"/>
                    </w:rPr>
                    <w:t>3.2V;</w:t>
                  </w:r>
                </w:p>
                <w:p>
                  <w:pPr>
                    <w:pStyle w:val="null3"/>
                    <w:jc w:val="left"/>
                  </w:pPr>
                  <w:r>
                    <w:rPr>
                      <w:rFonts w:ascii="仿宋_GB2312" w:hAnsi="仿宋_GB2312" w:cs="仿宋_GB2312" w:eastAsia="仿宋_GB2312"/>
                      <w:sz w:val="20"/>
                      <w:color w:val="000000"/>
                    </w:rPr>
                    <w:t>电池材质：磷酸铁锂电池；</w:t>
                  </w:r>
                </w:p>
                <w:p>
                  <w:pPr>
                    <w:pStyle w:val="null3"/>
                    <w:jc w:val="left"/>
                  </w:pPr>
                  <w:r>
                    <w:rPr>
                      <w:rFonts w:ascii="仿宋_GB2312" w:hAnsi="仿宋_GB2312" w:cs="仿宋_GB2312" w:eastAsia="仿宋_GB2312"/>
                      <w:sz w:val="20"/>
                      <w:color w:val="000000"/>
                    </w:rPr>
                    <w:t>太阳能板</w:t>
                  </w:r>
                  <w:r>
                    <w:rPr>
                      <w:rFonts w:ascii="仿宋_GB2312" w:hAnsi="仿宋_GB2312" w:cs="仿宋_GB2312" w:eastAsia="仿宋_GB2312"/>
                      <w:sz w:val="20"/>
                      <w:color w:val="000000"/>
                    </w:rPr>
                    <w:t>材质：</w:t>
                  </w:r>
                  <w:r>
                    <w:rPr>
                      <w:rFonts w:ascii="仿宋_GB2312" w:hAnsi="仿宋_GB2312" w:cs="仿宋_GB2312" w:eastAsia="仿宋_GB2312"/>
                      <w:sz w:val="20"/>
                      <w:color w:val="000000"/>
                    </w:rPr>
                    <w:t>100瓦</w:t>
                  </w:r>
                  <w:r>
                    <w:rPr>
                      <w:rFonts w:ascii="仿宋_GB2312" w:hAnsi="仿宋_GB2312" w:cs="仿宋_GB2312" w:eastAsia="仿宋_GB2312"/>
                      <w:sz w:val="20"/>
                      <w:color w:val="000000"/>
                    </w:rPr>
                    <w:t>单晶硅面板</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2.</w:t>
                  </w:r>
                  <w:r>
                    <w:rPr>
                      <w:rFonts w:ascii="仿宋_GB2312" w:hAnsi="仿宋_GB2312" w:cs="仿宋_GB2312" w:eastAsia="仿宋_GB2312"/>
                      <w:sz w:val="20"/>
                      <w:color w:val="000000"/>
                    </w:rPr>
                    <w:t>灯杆参数</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灯杆类型：</w:t>
                  </w:r>
                  <w:r>
                    <w:rPr>
                      <w:rFonts w:ascii="仿宋_GB2312" w:hAnsi="仿宋_GB2312" w:cs="仿宋_GB2312" w:eastAsia="仿宋_GB2312"/>
                      <w:sz w:val="20"/>
                      <w:color w:val="000000"/>
                    </w:rPr>
                    <w:t>6</w:t>
                  </w:r>
                  <w:r>
                    <w:rPr>
                      <w:rFonts w:ascii="仿宋_GB2312" w:hAnsi="仿宋_GB2312" w:cs="仿宋_GB2312" w:eastAsia="仿宋_GB2312"/>
                      <w:sz w:val="20"/>
                      <w:color w:val="000000"/>
                    </w:rPr>
                    <w:t>m</w:t>
                  </w:r>
                  <w:r>
                    <w:rPr>
                      <w:rFonts w:ascii="仿宋_GB2312" w:hAnsi="仿宋_GB2312" w:cs="仿宋_GB2312" w:eastAsia="仿宋_GB2312"/>
                      <w:sz w:val="20"/>
                      <w:color w:val="000000"/>
                    </w:rPr>
                    <w:t>锥形杆</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灯杆</w:t>
                  </w:r>
                  <w:r>
                    <w:rPr>
                      <w:rFonts w:ascii="仿宋_GB2312" w:hAnsi="仿宋_GB2312" w:cs="仿宋_GB2312" w:eastAsia="仿宋_GB2312"/>
                      <w:sz w:val="20"/>
                      <w:color w:val="000000"/>
                    </w:rPr>
                    <w:t>壁</w:t>
                  </w:r>
                  <w:r>
                    <w:rPr>
                      <w:rFonts w:ascii="仿宋_GB2312" w:hAnsi="仿宋_GB2312" w:cs="仿宋_GB2312" w:eastAsia="仿宋_GB2312"/>
                      <w:sz w:val="20"/>
                      <w:color w:val="000000"/>
                    </w:rPr>
                    <w:t>厚：</w:t>
                  </w:r>
                  <w:r>
                    <w:rPr>
                      <w:rFonts w:ascii="仿宋_GB2312" w:hAnsi="仿宋_GB2312" w:cs="仿宋_GB2312" w:eastAsia="仿宋_GB2312"/>
                      <w:sz w:val="20"/>
                      <w:color w:val="000000"/>
                    </w:rPr>
                    <w:t>≥</w:t>
                  </w:r>
                  <w:r>
                    <w:rPr>
                      <w:rFonts w:ascii="仿宋_GB2312" w:hAnsi="仿宋_GB2312" w:cs="仿宋_GB2312" w:eastAsia="仿宋_GB2312"/>
                      <w:sz w:val="20"/>
                      <w:color w:val="000000"/>
                    </w:rPr>
                    <w:t>2.0mm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灯杆材质：</w:t>
                  </w:r>
                  <w:r>
                    <w:rPr>
                      <w:rFonts w:ascii="仿宋_GB2312" w:hAnsi="仿宋_GB2312" w:cs="仿宋_GB2312" w:eastAsia="仿宋_GB2312"/>
                      <w:sz w:val="20"/>
                      <w:color w:val="000000"/>
                    </w:rPr>
                    <w:t>Q235镀锌钢材</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上口直径：</w:t>
                  </w:r>
                  <w:r>
                    <w:rPr>
                      <w:rFonts w:ascii="仿宋_GB2312" w:hAnsi="仿宋_GB2312" w:cs="仿宋_GB2312" w:eastAsia="仿宋_GB2312"/>
                      <w:sz w:val="20"/>
                      <w:color w:val="000000"/>
                    </w:rPr>
                    <w:t>50-70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下口直径：</w:t>
                  </w:r>
                  <w:r>
                    <w:rPr>
                      <w:rFonts w:ascii="仿宋_GB2312" w:hAnsi="仿宋_GB2312" w:cs="仿宋_GB2312" w:eastAsia="仿宋_GB2312"/>
                      <w:sz w:val="20"/>
                      <w:color w:val="000000"/>
                    </w:rPr>
                    <w:t>120-140</w:t>
                  </w:r>
                  <w:r>
                    <w:rPr>
                      <w:rFonts w:ascii="仿宋_GB2312" w:hAnsi="仿宋_GB2312" w:cs="仿宋_GB2312" w:eastAsia="仿宋_GB2312"/>
                      <w:sz w:val="20"/>
                      <w:color w:val="000000"/>
                    </w:rPr>
                    <w:t>mm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法兰尺寸：</w:t>
                  </w:r>
                  <w:r>
                    <w:rPr>
                      <w:rFonts w:ascii="仿宋_GB2312" w:hAnsi="仿宋_GB2312" w:cs="仿宋_GB2312" w:eastAsia="仿宋_GB2312"/>
                      <w:sz w:val="20"/>
                      <w:color w:val="000000"/>
                    </w:rPr>
                    <w:t>250*250*10mm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Φ16</w:t>
                  </w:r>
                  <w:r>
                    <w:rPr>
                      <w:rFonts w:ascii="仿宋_GB2312" w:hAnsi="仿宋_GB2312" w:cs="仿宋_GB2312" w:eastAsia="仿宋_GB2312"/>
                      <w:sz w:val="20"/>
                      <w:color w:val="000000"/>
                    </w:rPr>
                    <w:t>地笼尺寸</w:t>
                  </w:r>
                  <w:r>
                    <w:rPr>
                      <w:rFonts w:ascii="仿宋_GB2312" w:hAnsi="仿宋_GB2312" w:cs="仿宋_GB2312" w:eastAsia="仿宋_GB2312"/>
                      <w:sz w:val="20"/>
                      <w:color w:val="000000"/>
                    </w:rPr>
                    <w:t>：</w:t>
                  </w:r>
                  <w:r>
                    <w:rPr>
                      <w:rFonts w:ascii="仿宋_GB2312" w:hAnsi="仿宋_GB2312" w:cs="仿宋_GB2312" w:eastAsia="仿宋_GB2312"/>
                      <w:sz w:val="20"/>
                      <w:color w:val="000000"/>
                    </w:rPr>
                    <w:t>180*180*500mm</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3.</w:t>
                  </w:r>
                  <w:r>
                    <w:rPr>
                      <w:rFonts w:ascii="仿宋_GB2312" w:hAnsi="仿宋_GB2312" w:cs="仿宋_GB2312" w:eastAsia="仿宋_GB2312"/>
                      <w:sz w:val="20"/>
                      <w:color w:val="000000"/>
                    </w:rPr>
                    <w:t>产品参数</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亮灯时长：可自由设置</w:t>
                  </w:r>
                  <w:r>
                    <w:rPr>
                      <w:rFonts w:ascii="仿宋_GB2312" w:hAnsi="仿宋_GB2312" w:cs="仿宋_GB2312" w:eastAsia="仿宋_GB2312"/>
                      <w:sz w:val="20"/>
                      <w:color w:val="000000"/>
                    </w:rPr>
                    <w:t>，常规</w:t>
                  </w:r>
                  <w:r>
                    <w:rPr>
                      <w:rFonts w:ascii="仿宋_GB2312" w:hAnsi="仿宋_GB2312" w:cs="仿宋_GB2312" w:eastAsia="仿宋_GB2312"/>
                      <w:sz w:val="20"/>
                      <w:color w:val="000000"/>
                    </w:rPr>
                    <w:t>8小时</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亮灯模式：天黑自动亮</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色温：</w:t>
                  </w:r>
                  <w:r>
                    <w:rPr>
                      <w:rFonts w:ascii="仿宋_GB2312" w:hAnsi="仿宋_GB2312" w:cs="仿宋_GB2312" w:eastAsia="仿宋_GB2312"/>
                      <w:sz w:val="20"/>
                      <w:color w:val="000000"/>
                    </w:rPr>
                    <w:t>6500k白光</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防护等级：</w:t>
                  </w:r>
                  <w:r>
                    <w:rPr>
                      <w:rFonts w:ascii="仿宋_GB2312" w:hAnsi="仿宋_GB2312" w:cs="仿宋_GB2312" w:eastAsia="仿宋_GB2312"/>
                      <w:sz w:val="20"/>
                      <w:color w:val="000000"/>
                    </w:rPr>
                    <w:t>IP67</w:t>
                  </w:r>
                  <w:r>
                    <w:rPr>
                      <w:rFonts w:ascii="仿宋_GB2312" w:hAnsi="仿宋_GB2312" w:cs="仿宋_GB2312" w:eastAsia="仿宋_GB2312"/>
                      <w:sz w:val="20"/>
                      <w:color w:val="000000"/>
                    </w:rPr>
                    <w:t>；</w:t>
                  </w:r>
                </w:p>
                <w:p>
                  <w:pPr>
                    <w:pStyle w:val="null3"/>
                    <w:jc w:val="left"/>
                  </w:pPr>
                  <w:r>
                    <w:rPr>
                      <w:rFonts w:ascii="仿宋_GB2312" w:hAnsi="仿宋_GB2312" w:cs="仿宋_GB2312" w:eastAsia="仿宋_GB2312"/>
                      <w:sz w:val="20"/>
                      <w:color w:val="000000"/>
                    </w:rPr>
                    <w:t>抗风等级：</w:t>
                  </w:r>
                  <w:r>
                    <w:rPr>
                      <w:rFonts w:ascii="仿宋_GB2312" w:hAnsi="仿宋_GB2312" w:cs="仿宋_GB2312" w:eastAsia="仿宋_GB2312"/>
                      <w:sz w:val="20"/>
                      <w:color w:val="000000"/>
                    </w:rPr>
                    <w:t>10级；</w:t>
                  </w:r>
                </w:p>
                <w:p>
                  <w:pPr>
                    <w:pStyle w:val="null3"/>
                    <w:jc w:val="left"/>
                  </w:pPr>
                  <w:r>
                    <w:rPr>
                      <w:rFonts w:ascii="仿宋_GB2312" w:hAnsi="仿宋_GB2312" w:cs="仿宋_GB2312" w:eastAsia="仿宋_GB2312"/>
                      <w:sz w:val="20"/>
                      <w:color w:val="000000"/>
                    </w:rPr>
                    <w:t>引用国标</w:t>
                  </w:r>
                  <w:r>
                    <w:rPr>
                      <w:rFonts w:ascii="仿宋_GB2312" w:hAnsi="仿宋_GB2312" w:cs="仿宋_GB2312" w:eastAsia="仿宋_GB2312"/>
                      <w:sz w:val="20"/>
                      <w:color w:val="000000"/>
                    </w:rPr>
                    <w:t>/行标：符合CJ/T527-2018《道路照明灯杆技术条件》；</w:t>
                  </w:r>
                </w:p>
                <w:p>
                  <w:pPr>
                    <w:pStyle w:val="null3"/>
                    <w:jc w:val="left"/>
                  </w:pPr>
                  <w:r>
                    <w:rPr>
                      <w:rFonts w:ascii="仿宋_GB2312" w:hAnsi="仿宋_GB2312" w:cs="仿宋_GB2312" w:eastAsia="仿宋_GB2312"/>
                      <w:sz w:val="20"/>
                      <w:color w:val="000000"/>
                    </w:rPr>
                    <w:t>质保年限</w:t>
                  </w:r>
                  <w:r>
                    <w:rPr>
                      <w:rFonts w:ascii="仿宋_GB2312" w:hAnsi="仿宋_GB2312" w:cs="仿宋_GB2312" w:eastAsia="仿宋_GB2312"/>
                      <w:sz w:val="20"/>
                      <w:color w:val="000000"/>
                    </w:rPr>
                    <w:t>：</w:t>
                  </w:r>
                  <w:r>
                    <w:rPr>
                      <w:rFonts w:ascii="仿宋_GB2312" w:hAnsi="仿宋_GB2312" w:cs="仿宋_GB2312" w:eastAsia="仿宋_GB2312"/>
                      <w:sz w:val="20"/>
                      <w:color w:val="000000"/>
                    </w:rPr>
                    <w:t>2</w:t>
                  </w:r>
                  <w:r>
                    <w:rPr>
                      <w:rFonts w:ascii="仿宋_GB2312" w:hAnsi="仿宋_GB2312" w:cs="仿宋_GB2312" w:eastAsia="仿宋_GB2312"/>
                      <w:sz w:val="20"/>
                      <w:color w:val="000000"/>
                    </w:rPr>
                    <w:t>年</w:t>
                  </w:r>
                  <w:r>
                    <w:rPr>
                      <w:rFonts w:ascii="仿宋_GB2312" w:hAnsi="仿宋_GB2312" w:cs="仿宋_GB2312" w:eastAsia="仿宋_GB2312"/>
                      <w:sz w:val="20"/>
                      <w:color w:val="000000"/>
                    </w:rPr>
                    <w:t>。</w:t>
                  </w:r>
                </w:p>
              </w:tc>
              <w:tc>
                <w:tcPr>
                  <w:tcW w:type="dxa" w:w="3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r>
          </w:tbl>
          <w:p>
            <w:pPr>
              <w:pStyle w:val="null3"/>
            </w:pPr>
            <w:r>
              <w:rPr>
                <w:rFonts w:ascii="仿宋_GB2312" w:hAnsi="仿宋_GB2312" w:cs="仿宋_GB2312" w:eastAsia="仿宋_GB2312"/>
                <w:sz w:val="21"/>
                <w:color w:val="000000"/>
              </w:rPr>
              <w:t>注：</w:t>
            </w:r>
            <w:r>
              <w:rPr>
                <w:rFonts w:ascii="仿宋_GB2312" w:hAnsi="仿宋_GB2312" w:cs="仿宋_GB2312" w:eastAsia="仿宋_GB2312"/>
                <w:sz w:val="21"/>
                <w:color w:val="000000"/>
              </w:rPr>
              <w:t>核心产品太阳能路灯；本项目施工内容包含路灯基础制作及安装等工作</w:t>
            </w:r>
            <w:r>
              <w:rPr>
                <w:rFonts w:ascii="仿宋_GB2312" w:hAnsi="仿宋_GB2312" w:cs="仿宋_GB2312" w:eastAsia="仿宋_GB2312"/>
                <w:sz w:val="21"/>
                <w:color w:val="000000"/>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合同签订后60日历天内完成项目供货、施工、安装调试，交付采购人验收，验收合格。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合同签订后，甲方向乙方支付合同总价款的40%作为预付款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全部货物到达采购人指定地点，乙方完成项目供货、施工、安装调试完毕，甲方组织有关人员验收合格后，支付合同总价款的60％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1.货物到达交货地点后，由使用单位根据合同对货物的名称、品牌、规格、型号、产地、数量、产品技术指标、性能参数等进行检查，合格后签发《验收合格单》。 2.验收不合格的成交单位，必须在接到通知后7个日历日内确保货物通过验收。如接到通知后7个日历日内验收仍不合格，采购人可提出索赔或取消其供货合同。 3.验收依据： 3.1合同文本及合同补充文件（条款）； 3.2产品的合法来源渠道证明文件、功能证明材料； 3.3竞争性谈判文件； 3.4竞争性谈判响应文件； 3.5国家和行业制定的相应的标准和规范；3.6合同货物清单等。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1.质保期为验收合格之日起不少于24个月。 2.成交单位承诺的质保期起始时间为终验合格之日。 3.所有产品质量必须符合国家有关规范和相关政策。所有产品必须是未使用过的新产品，质量优良、渠道正当。 4.质保期出现的质量问题由成交单位负责解决并承担所有费用。</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2.未按合同要求提供产品或产品质量不能满足技术要求，采购人有权终止合同，并对供方违约行为进行追究，同时按《中华人民共和国政府采购法》的有关规定进行处罚。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1.产品的合法来源渠道证明文件，提供以下任意一种即可：原厂授权书、代理协议或销售协议等； 2.生产厂家确认的、相应的功能证明材料，提供以下任意一种即可：制造厂家的说明书、产品图册、检测报告、测试报告、官网功能截图等；3.具有履约本项目的安装能力，包括不限于具有相应施工经验的人员等证明资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提供以下资料；(1)提供合格有效的法人或者其他组织的营业执照等证明文件，自然人的身份证明；供应商是法人或其他组织的应提供营业执照等证明文件，供应商是自然人的应提供有效的自然人身份证明。(2)提供2024年度或2025年度经审计的财务报告（成立时间至提交响应文件截止时间不足一年的可提供成立后任意时段的资产负债表），或响应截止时间前6个月内银行出具的资信证明；(3)提供响应文件递交截止日前一年内已缴纳的至少一个月的纳税证明或完税证明，依法免税的单位应提供相关证明材料； (4)提供响应文件递交截止日前一年内已缴存的至少一个月的社会保障资金缴存单据或社保机构开具的社会保险参保缴费情况证明，依法不需要缴纳社会保障资金的单位应提供相关证明材料；(5)提供具有履行合同所必需的设备和专业技术能力的承诺；(6)参加政府采购活动前3年内，在经营活动中没有重大违法记录的书面声明。 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提供2024年度或2025年度经审计的财务报告（成立时间至提交响应文件截止时间不足一年的可提供成立后任意时段的资产负债表），或响应截止时间前6个月内银行出具的资信证明；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法定代表人授权书（法定代表人直接参加谈判，须提供法定代表人资格证明书）；</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失信查询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以代理机构在提交响应文件截止当日查询结果为准）；</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本项目不接受联合体谈判，单位负责人为同一人或者存在直接控股、管理关系的不同供应商，不得参加同一合同项下的政府采购活动；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 号) 条件的中小企业参与，残疾人福利企业、监狱企业视同中小企业。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分项报价.pdf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谈判报价</w:t>
            </w:r>
          </w:p>
        </w:tc>
        <w:tc>
          <w:tcPr>
            <w:tcW w:type="dxa" w:w="3322"/>
          </w:tcPr>
          <w:p>
            <w:pPr>
              <w:pStyle w:val="null3"/>
            </w:pPr>
            <w:r>
              <w:rPr>
                <w:rFonts w:ascii="仿宋_GB2312" w:hAnsi="仿宋_GB2312" w:cs="仿宋_GB2312" w:eastAsia="仿宋_GB2312"/>
              </w:rPr>
              <w:t>谈判报价未超过采购预算或最高限价。</w:t>
            </w:r>
          </w:p>
        </w:tc>
        <w:tc>
          <w:tcPr>
            <w:tcW w:type="dxa" w:w="1661"/>
          </w:tcPr>
          <w:p>
            <w:pPr>
              <w:pStyle w:val="null3"/>
            </w:pPr>
            <w:r>
              <w:rPr>
                <w:rFonts w:ascii="仿宋_GB2312" w:hAnsi="仿宋_GB2312" w:cs="仿宋_GB2312" w:eastAsia="仿宋_GB2312"/>
              </w:rPr>
              <w:t>分项报价.pdf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谈判有效期符合谈判文件的要求。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谈判响应文件按照谈判文件的要求盖章签字。</w:t>
            </w:r>
          </w:p>
        </w:tc>
        <w:tc>
          <w:tcPr>
            <w:tcW w:type="dxa" w:w="1661"/>
          </w:tcPr>
          <w:p>
            <w:pPr>
              <w:pStyle w:val="null3"/>
            </w:pPr>
            <w:r>
              <w:rPr>
                <w:rFonts w:ascii="仿宋_GB2312" w:hAnsi="仿宋_GB2312" w:cs="仿宋_GB2312" w:eastAsia="仿宋_GB2312"/>
              </w:rPr>
              <w:t>技术规格响应偏离表.pdf 中小企业声明函 报价表 供应商参与政府采购活动的承诺函.pdf 商务条款响应偏离表.pdf 响应文件封面 拒绝政府采购领域商业贿赂承诺书.pdf 分项报价.pdf 残疾人福利性单位声明函 强制优先采购产品承诺函（格式）.pdf 标的清单 实施方案.pdf 响应函 资格证明文件.pdf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谈判响应文件内容符合谈判文件要求。</w:t>
            </w:r>
          </w:p>
        </w:tc>
        <w:tc>
          <w:tcPr>
            <w:tcW w:type="dxa" w:w="1661"/>
          </w:tcPr>
          <w:p>
            <w:pPr>
              <w:pStyle w:val="null3"/>
            </w:pPr>
            <w:r>
              <w:rPr>
                <w:rFonts w:ascii="仿宋_GB2312" w:hAnsi="仿宋_GB2312" w:cs="仿宋_GB2312" w:eastAsia="仿宋_GB2312"/>
              </w:rPr>
              <w:t>技术规格响应偏离表.pdf 中小企业声明函 报价表 供应商参与政府采购活动的承诺函.pdf 商务条款响应偏离表.pdf 响应文件封面 拒绝政府采购领域商业贿赂承诺书.pdf 分项报价.pdf 残疾人福利性单位声明函 强制优先采购产品承诺函（格式）.pdf 标的清单 实施方案.pdf 响应函 资格证明文件.pdf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要求实质性条款全部响应，包括不限于对谈判文件商务要求、技术要求作出明确响应，对不得偏离的要求作了实质性响应，谈判响应文件不能有采购人不能接受的附加条件。</w:t>
            </w:r>
          </w:p>
        </w:tc>
        <w:tc>
          <w:tcPr>
            <w:tcW w:type="dxa" w:w="1661"/>
          </w:tcPr>
          <w:p>
            <w:pPr>
              <w:pStyle w:val="null3"/>
            </w:pPr>
            <w:r>
              <w:rPr>
                <w:rFonts w:ascii="仿宋_GB2312" w:hAnsi="仿宋_GB2312" w:cs="仿宋_GB2312" w:eastAsia="仿宋_GB2312"/>
              </w:rPr>
              <w:t>技术规格响应偏离表.pdf 中小企业声明函 报价表 供应商参与政府采购活动的承诺函.pdf 商务条款响应偏离表.pdf 响应文件封面 拒绝政府采购领域商业贿赂承诺书.pdf 分项报价.pdf 残疾人福利性单位声明函 强制优先采购产品承诺函（格式）.pdf 标的清单 实施方案.pdf 响应函 资格证明文件.pdf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法律、法规和谈判文件规定的其他无效响应情形</w:t>
            </w:r>
          </w:p>
        </w:tc>
        <w:tc>
          <w:tcPr>
            <w:tcW w:type="dxa" w:w="3322"/>
          </w:tcPr>
          <w:p>
            <w:pPr>
              <w:pStyle w:val="null3"/>
            </w:pPr>
            <w:r>
              <w:rPr>
                <w:rFonts w:ascii="仿宋_GB2312" w:hAnsi="仿宋_GB2312" w:cs="仿宋_GB2312" w:eastAsia="仿宋_GB2312"/>
              </w:rPr>
              <w:t>法律、法规和谈判文件规定的其他无效响应情形。</w:t>
            </w:r>
          </w:p>
        </w:tc>
        <w:tc>
          <w:tcPr>
            <w:tcW w:type="dxa" w:w="1661"/>
          </w:tcPr>
          <w:p>
            <w:pPr>
              <w:pStyle w:val="null3"/>
            </w:pPr>
            <w:r>
              <w:rPr>
                <w:rFonts w:ascii="仿宋_GB2312" w:hAnsi="仿宋_GB2312" w:cs="仿宋_GB2312" w:eastAsia="仿宋_GB2312"/>
              </w:rPr>
              <w:t>技术规格响应偏离表.pdf 中小企业声明函 报价表 供应商参与政府采购活动的承诺函.pdf 商务条款响应偏离表.pdf 响应文件封面 拒绝政府采购领域商业贿赂承诺书.pdf 分项报价.pdf 残疾人福利性单位声明函 强制优先采购产品承诺函（格式）.pdf 标的清单 实施方案.pdf 响应函 资格证明文件.pdf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谈判小组依据谈判文件的要求，经过评审、谈判、澄清、最后报价等程序后，从质量和服务均能满足谈判文件实质性响应要求的供应商中，按照最后报价由低到高的顺序推荐成交候选人。</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详见附件：分项报价.pdf</w:t>
      </w:r>
    </w:p>
    <w:p>
      <w:pPr>
        <w:pStyle w:val="null3"/>
        <w:ind w:firstLine="960"/>
      </w:pPr>
      <w:r>
        <w:rPr>
          <w:rFonts w:ascii="仿宋_GB2312" w:hAnsi="仿宋_GB2312" w:cs="仿宋_GB2312" w:eastAsia="仿宋_GB2312"/>
        </w:rPr>
        <w:t>详见附件：资格证明文件.pdf</w:t>
      </w:r>
    </w:p>
    <w:p>
      <w:pPr>
        <w:pStyle w:val="null3"/>
        <w:ind w:firstLine="960"/>
      </w:pPr>
      <w:r>
        <w:rPr>
          <w:rFonts w:ascii="仿宋_GB2312" w:hAnsi="仿宋_GB2312" w:cs="仿宋_GB2312" w:eastAsia="仿宋_GB2312"/>
        </w:rPr>
        <w:t>详见附件：技术规格响应偏离表.pdf</w:t>
      </w:r>
    </w:p>
    <w:p>
      <w:pPr>
        <w:pStyle w:val="null3"/>
        <w:ind w:firstLine="960"/>
      </w:pPr>
      <w:r>
        <w:rPr>
          <w:rFonts w:ascii="仿宋_GB2312" w:hAnsi="仿宋_GB2312" w:cs="仿宋_GB2312" w:eastAsia="仿宋_GB2312"/>
        </w:rPr>
        <w:t>详见附件：商务条款响应偏离表.pdf</w:t>
      </w:r>
    </w:p>
    <w:p>
      <w:pPr>
        <w:pStyle w:val="null3"/>
        <w:ind w:firstLine="960"/>
      </w:pPr>
      <w:r>
        <w:rPr>
          <w:rFonts w:ascii="仿宋_GB2312" w:hAnsi="仿宋_GB2312" w:cs="仿宋_GB2312" w:eastAsia="仿宋_GB2312"/>
        </w:rPr>
        <w:t>详见附件：实施方案.pdf</w:t>
      </w:r>
    </w:p>
    <w:p>
      <w:pPr>
        <w:pStyle w:val="null3"/>
        <w:ind w:firstLine="960"/>
      </w:pPr>
      <w:r>
        <w:rPr>
          <w:rFonts w:ascii="仿宋_GB2312" w:hAnsi="仿宋_GB2312" w:cs="仿宋_GB2312" w:eastAsia="仿宋_GB2312"/>
        </w:rPr>
        <w:t>详见附件：供应商参与政府采购活动的承诺函.pdf</w:t>
      </w:r>
    </w:p>
    <w:p>
      <w:pPr>
        <w:pStyle w:val="null3"/>
        <w:ind w:firstLine="960"/>
      </w:pPr>
      <w:r>
        <w:rPr>
          <w:rFonts w:ascii="仿宋_GB2312" w:hAnsi="仿宋_GB2312" w:cs="仿宋_GB2312" w:eastAsia="仿宋_GB2312"/>
        </w:rPr>
        <w:t>详见附件：拒绝政府采购领域商业贿赂承诺书.pdf</w:t>
      </w:r>
    </w:p>
    <w:p>
      <w:pPr>
        <w:pStyle w:val="null3"/>
        <w:ind w:firstLine="960"/>
      </w:pPr>
      <w:r>
        <w:rPr>
          <w:rFonts w:ascii="仿宋_GB2312" w:hAnsi="仿宋_GB2312" w:cs="仿宋_GB2312" w:eastAsia="仿宋_GB2312"/>
        </w:rPr>
        <w:t>详见附件：强制优先采购产品承诺函（格式）.pdf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详见附件：合同模板（货物）.docx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