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版本号：JXZB2026-03-0520260317001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柳家湾村主街道基础设施建设项目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JXZB2026-03-05</w:t>
      </w:r>
      <w:r>
        <w:br/>
      </w:r>
      <w:r>
        <w:br/>
      </w:r>
      <w:r>
        <w:br/>
      </w:r>
    </w:p>
    <w:p>
      <w:pPr>
        <w:pStyle w:val="null3"/>
        <w:jc w:val="center"/>
        <w:outlineLvl w:val="2"/>
      </w:pPr>
      <w:r>
        <w:rPr>
          <w:rFonts w:ascii="仿宋_GB2312" w:hAnsi="仿宋_GB2312" w:cs="仿宋_GB2312" w:eastAsia="仿宋_GB2312"/>
          <w:sz w:val="28"/>
          <w:b/>
        </w:rPr>
        <w:t>西安市蓝田县焦岱镇人民政府（本级）</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西安市蓝田县焦岱镇人民政府（本级）</w:t>
      </w:r>
      <w:r>
        <w:rPr>
          <w:rFonts w:ascii="仿宋_GB2312" w:hAnsi="仿宋_GB2312" w:cs="仿宋_GB2312" w:eastAsia="仿宋_GB2312"/>
        </w:rPr>
        <w:t>委托，拟对</w:t>
      </w:r>
      <w:r>
        <w:rPr>
          <w:rFonts w:ascii="仿宋_GB2312" w:hAnsi="仿宋_GB2312" w:cs="仿宋_GB2312" w:eastAsia="仿宋_GB2312"/>
        </w:rPr>
        <w:t>柳家湾村主街道基础设施建设项目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JXZB2026-03-05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柳家湾村主街道基础设施建设项目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本工程为柳家湾村主街道基础设施建设项目，施工范围：拆除工程；新建彩色混凝土人行道、路缘石、检查井升降、集水口、管道敷设等，具体详见设计图纸及工程量清单。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采购包1（柳家湾村主街道基础设施建设项目）：属于专门面向中小企业采购。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1、法定代表人授权书或法定代表人身份证明：法定代表人授权书（法定代表人直接参加磋商，须提供法定代表人身份证明）；</w:t>
      </w:r>
    </w:p>
    <w:p>
      <w:pPr>
        <w:pStyle w:val="null3"/>
      </w:pPr>
      <w:r>
        <w:rPr>
          <w:rFonts w:ascii="仿宋_GB2312" w:hAnsi="仿宋_GB2312" w:cs="仿宋_GB2312" w:eastAsia="仿宋_GB2312"/>
        </w:rPr>
        <w:t>2、失信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代理机构在提交响应文件截止当日查询结果为准）；</w:t>
      </w:r>
    </w:p>
    <w:p>
      <w:pPr>
        <w:pStyle w:val="null3"/>
      </w:pPr>
      <w:r>
        <w:rPr>
          <w:rFonts w:ascii="仿宋_GB2312" w:hAnsi="仿宋_GB2312" w:cs="仿宋_GB2312" w:eastAsia="仿宋_GB2312"/>
        </w:rPr>
        <w:t>3、资质要求：供应商须具备行业主管部门颁发的市政公用工程施工总承包三级及以上资质并具有有效的安全生产许可证；</w:t>
      </w:r>
    </w:p>
    <w:p>
      <w:pPr>
        <w:pStyle w:val="null3"/>
      </w:pPr>
      <w:r>
        <w:rPr>
          <w:rFonts w:ascii="仿宋_GB2312" w:hAnsi="仿宋_GB2312" w:cs="仿宋_GB2312" w:eastAsia="仿宋_GB2312"/>
        </w:rPr>
        <w:t>4、项目经理：供应商拟派项目经理须具备行业主管部门颁发的市政公用工程专业二级及以上建造师资质及有效的安全生产考核合格证书（建安B证），在本单位注册且无在建工程；</w:t>
      </w:r>
    </w:p>
    <w:p>
      <w:pPr>
        <w:pStyle w:val="null3"/>
      </w:pPr>
      <w:r>
        <w:rPr>
          <w:rFonts w:ascii="仿宋_GB2312" w:hAnsi="仿宋_GB2312" w:cs="仿宋_GB2312" w:eastAsia="仿宋_GB2312"/>
        </w:rPr>
        <w:t>5、供应商基本信息及项目经理基本信息：供应商基本信息及项目经理基本信息应在“陕西建设网（http://js.shaanxi.gov.cn/ ）陕西省建筑市场监管与诚信信息发布平台”可查询；</w:t>
      </w:r>
    </w:p>
    <w:p>
      <w:pPr>
        <w:pStyle w:val="null3"/>
      </w:pPr>
      <w:r>
        <w:rPr>
          <w:rFonts w:ascii="仿宋_GB2312" w:hAnsi="仿宋_GB2312" w:cs="仿宋_GB2312" w:eastAsia="仿宋_GB2312"/>
        </w:rPr>
        <w:t>6、不得列为受限行为人：供应商不得在各级诚信信息平台被列为投标受限制的行为人（以承诺书为准）；</w:t>
      </w:r>
    </w:p>
    <w:p>
      <w:pPr>
        <w:pStyle w:val="null3"/>
      </w:pPr>
      <w:r>
        <w:rPr>
          <w:rFonts w:ascii="仿宋_GB2312" w:hAnsi="仿宋_GB2312" w:cs="仿宋_GB2312" w:eastAsia="仿宋_GB2312"/>
        </w:rPr>
        <w:t>7、承诺：本项目不接受联合体磋商，单位负责人为同一人或者存在直接控股、管理关系的不同供应商，不得参加同一合同项下的政府采购活动；</w:t>
      </w:r>
    </w:p>
    <w:p>
      <w:pPr>
        <w:pStyle w:val="null3"/>
      </w:pPr>
      <w:r>
        <w:rPr>
          <w:rFonts w:ascii="仿宋_GB2312" w:hAnsi="仿宋_GB2312" w:cs="仿宋_GB2312" w:eastAsia="仿宋_GB2312"/>
        </w:rPr>
        <w:t>8、中小企业声明函：本项目专门面向中小企业采购，仅限符合《政府采购促进中小企业发展管理办法》的通知(财库〔2020〕46 号) 条件的中小企业参与，残疾人福利企业、监狱企业视同中小企业。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西安市蓝田县焦岱镇人民政府（本级）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蓝田县焦岱镇焦岱街村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刘霞丽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029-82865031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西安市雁塔区中国科学院地球环境研究所南边和谐国际2栋301室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15529558166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王树刚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成交金额为基数，参考国家计委颁布的《招标代理服务收费管理暂行办法》（计价格〔2002〕1980号）和（发改办价格〔2003〕857号）工程收费标准计取；造价咨询服务费按陕价行发〔2014〕88号文规定的基准价计取； 2.招标代理服务费由成交供应商支付，在领取《成交通知书》前，由成交供应商一次性支付给建信众诚工程咨询有限公司。 3.招标代理服务费缴纳账户，开户名称：建信众诚工程咨询有限公司 开户银行：西安银行股份有限公司东二环南段支行 账 号：209011580000085788 注：成交公示结束后，成交供应商须提供纸质磋商响应文件3套及电子版U盘2个（电子版文件为Word版磋商响应文件、广联达版磋商报价及使用编标工具软件编制并导出的签章版PDF）交由采购代理机构。成交供应商对所提供资料的真实性、合法性、准确性、完整性负责，无需密封。</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西安市蓝田县焦岱镇人民政府（本级）</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西安市蓝田县焦岱镇人民政府（本级）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西安市蓝田县焦岱镇人民政府（本级）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w:t>
      </w:r>
    </w:p>
    <w:p>
      <w:pPr>
        <w:pStyle w:val="null3"/>
      </w:pPr>
      <w:r>
        <w:rPr>
          <w:rFonts w:ascii="仿宋_GB2312" w:hAnsi="仿宋_GB2312" w:cs="仿宋_GB2312" w:eastAsia="仿宋_GB2312"/>
        </w:rPr>
        <w:t>联系电话：15529558166</w:t>
      </w:r>
    </w:p>
    <w:p>
      <w:pPr>
        <w:pStyle w:val="null3"/>
      </w:pPr>
      <w:r>
        <w:rPr>
          <w:rFonts w:ascii="仿宋_GB2312" w:hAnsi="仿宋_GB2312" w:cs="仿宋_GB2312" w:eastAsia="仿宋_GB2312"/>
        </w:rPr>
        <w:t>地址：西安市雁塔区中国科学院地球环境研究所南边和谐国际2栋301室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1,210,000.00</w:t>
      </w:r>
    </w:p>
    <w:p>
      <w:pPr>
        <w:pStyle w:val="null3"/>
      </w:pPr>
      <w:r>
        <w:rPr>
          <w:rFonts w:ascii="仿宋_GB2312" w:hAnsi="仿宋_GB2312" w:cs="仿宋_GB2312" w:eastAsia="仿宋_GB2312"/>
        </w:rPr>
        <w:t>采购包最高限价（元）: 1,209,824.54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柳家湾村主街道基础设施建设项目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1,210,000.00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标的名称：柳家湾村主街道基础设施建设项目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color w:val="000000"/>
              </w:rPr>
              <w:t>一、工程概况</w:t>
            </w:r>
          </w:p>
          <w:p>
            <w:pPr>
              <w:pStyle w:val="null3"/>
              <w:jc w:val="left"/>
            </w:pPr>
            <w:r>
              <w:rPr>
                <w:rFonts w:ascii="仿宋_GB2312" w:hAnsi="仿宋_GB2312" w:cs="仿宋_GB2312" w:eastAsia="仿宋_GB2312"/>
                <w:sz w:val="20"/>
                <w:color w:val="000000"/>
              </w:rPr>
              <w:t>1、建设单位:蓝田县焦岱镇人民政府</w:t>
            </w:r>
          </w:p>
          <w:p>
            <w:pPr>
              <w:pStyle w:val="null3"/>
              <w:jc w:val="left"/>
            </w:pPr>
            <w:r>
              <w:rPr>
                <w:rFonts w:ascii="仿宋_GB2312" w:hAnsi="仿宋_GB2312" w:cs="仿宋_GB2312" w:eastAsia="仿宋_GB2312"/>
                <w:sz w:val="20"/>
                <w:color w:val="000000"/>
              </w:rPr>
              <w:t>2、项目名称:柳家湾村主街道基础设施建设项目</w:t>
            </w:r>
          </w:p>
          <w:p>
            <w:pPr>
              <w:pStyle w:val="null3"/>
              <w:jc w:val="left"/>
            </w:pPr>
            <w:r>
              <w:rPr>
                <w:rFonts w:ascii="仿宋_GB2312" w:hAnsi="仿宋_GB2312" w:cs="仿宋_GB2312" w:eastAsia="仿宋_GB2312"/>
                <w:sz w:val="20"/>
                <w:color w:val="000000"/>
              </w:rPr>
              <w:t>3、设计单位：鼎正建筑设计有限公司</w:t>
            </w:r>
          </w:p>
          <w:p>
            <w:pPr>
              <w:pStyle w:val="null3"/>
              <w:jc w:val="left"/>
            </w:pPr>
            <w:r>
              <w:rPr>
                <w:rFonts w:ascii="仿宋_GB2312" w:hAnsi="仿宋_GB2312" w:cs="仿宋_GB2312" w:eastAsia="仿宋_GB2312"/>
                <w:sz w:val="20"/>
                <w:color w:val="000000"/>
              </w:rPr>
              <w:t>4、项目建设地点:西安市蓝田县焦岱镇柳家湾村</w:t>
            </w:r>
          </w:p>
          <w:p>
            <w:pPr>
              <w:pStyle w:val="null3"/>
              <w:jc w:val="left"/>
            </w:pPr>
            <w:r>
              <w:rPr>
                <w:rFonts w:ascii="仿宋_GB2312" w:hAnsi="仿宋_GB2312" w:cs="仿宋_GB2312" w:eastAsia="仿宋_GB2312"/>
                <w:sz w:val="20"/>
                <w:color w:val="000000"/>
              </w:rPr>
              <w:t>二、编制范围及区域划分</w:t>
            </w:r>
          </w:p>
          <w:p>
            <w:pPr>
              <w:pStyle w:val="null3"/>
              <w:jc w:val="left"/>
            </w:pPr>
            <w:r>
              <w:rPr>
                <w:rFonts w:ascii="仿宋_GB2312" w:hAnsi="仿宋_GB2312" w:cs="仿宋_GB2312" w:eastAsia="仿宋_GB2312"/>
                <w:sz w:val="20"/>
                <w:color w:val="000000"/>
              </w:rPr>
              <w:t>1、范围包括：拆除工程；新建彩色混凝土人行道、路缘石、检查井升降、集水口、管道敷设等，具体详见设计图纸及工程量清单。</w:t>
            </w:r>
          </w:p>
          <w:p>
            <w:pPr>
              <w:pStyle w:val="null3"/>
              <w:jc w:val="left"/>
            </w:pPr>
            <w:r>
              <w:rPr>
                <w:rFonts w:ascii="仿宋_GB2312" w:hAnsi="仿宋_GB2312" w:cs="仿宋_GB2312" w:eastAsia="仿宋_GB2312"/>
                <w:sz w:val="20"/>
                <w:color w:val="000000"/>
              </w:rPr>
              <w:t>三、编制依据</w:t>
            </w:r>
          </w:p>
          <w:p>
            <w:pPr>
              <w:pStyle w:val="null3"/>
              <w:jc w:val="left"/>
            </w:pPr>
            <w:r>
              <w:rPr>
                <w:rFonts w:ascii="仿宋_GB2312" w:hAnsi="仿宋_GB2312" w:cs="仿宋_GB2312" w:eastAsia="仿宋_GB2312"/>
                <w:sz w:val="20"/>
                <w:color w:val="000000"/>
              </w:rPr>
              <w:t>1、依据《柳家湾村主街道基础设施建设项目》施工图相关资料；</w:t>
            </w:r>
          </w:p>
          <w:p>
            <w:pPr>
              <w:pStyle w:val="null3"/>
              <w:jc w:val="left"/>
            </w:pPr>
            <w:r>
              <w:rPr>
                <w:rFonts w:ascii="仿宋_GB2312" w:hAnsi="仿宋_GB2312" w:cs="仿宋_GB2312" w:eastAsia="仿宋_GB2312"/>
                <w:sz w:val="20"/>
                <w:color w:val="000000"/>
              </w:rPr>
              <w:t>2、《陕西省建设工程费用规则》(2025)、陕西省工程建设标准《建设工程工程量清单计价标准》(DB 61/T 5126-2025)、陕西省工程建设标准《房屋建筑与装饰工程工程量计算标准》(DB 61/T 5129-2025)、陕西省工程建设标准《市政工程工程量计算标准》(DB 61/T5128-2025)；</w:t>
            </w:r>
          </w:p>
          <w:p>
            <w:pPr>
              <w:pStyle w:val="null3"/>
              <w:jc w:val="left"/>
            </w:pPr>
            <w:r>
              <w:rPr>
                <w:rFonts w:ascii="仿宋_GB2312" w:hAnsi="仿宋_GB2312" w:cs="仿宋_GB2312" w:eastAsia="仿宋_GB2312"/>
                <w:sz w:val="20"/>
                <w:color w:val="000000"/>
              </w:rPr>
              <w:t>3、《陕西省房屋建筑与装饰工程消耗量定额》（2025）；</w:t>
            </w:r>
          </w:p>
          <w:p>
            <w:pPr>
              <w:pStyle w:val="null3"/>
              <w:jc w:val="left"/>
            </w:pPr>
            <w:r>
              <w:rPr>
                <w:rFonts w:ascii="仿宋_GB2312" w:hAnsi="仿宋_GB2312" w:cs="仿宋_GB2312" w:eastAsia="仿宋_GB2312"/>
                <w:sz w:val="20"/>
                <w:color w:val="000000"/>
              </w:rPr>
              <w:t>4、《陕西省房屋建筑与装饰工程基价表》（2025）；</w:t>
            </w:r>
          </w:p>
          <w:p>
            <w:pPr>
              <w:pStyle w:val="null3"/>
              <w:jc w:val="left"/>
            </w:pPr>
            <w:r>
              <w:rPr>
                <w:rFonts w:ascii="仿宋_GB2312" w:hAnsi="仿宋_GB2312" w:cs="仿宋_GB2312" w:eastAsia="仿宋_GB2312"/>
                <w:sz w:val="20"/>
                <w:color w:val="000000"/>
              </w:rPr>
              <w:t>5、《陕西省市政工程消耗量定额》（2025）；</w:t>
            </w:r>
          </w:p>
          <w:p>
            <w:pPr>
              <w:pStyle w:val="null3"/>
              <w:jc w:val="left"/>
            </w:pPr>
            <w:r>
              <w:rPr>
                <w:rFonts w:ascii="仿宋_GB2312" w:hAnsi="仿宋_GB2312" w:cs="仿宋_GB2312" w:eastAsia="仿宋_GB2312"/>
                <w:sz w:val="20"/>
                <w:color w:val="000000"/>
              </w:rPr>
              <w:t>6、《陕西省市政工程基价表》（2025）；</w:t>
            </w:r>
          </w:p>
          <w:p>
            <w:pPr>
              <w:pStyle w:val="null3"/>
              <w:jc w:val="left"/>
            </w:pPr>
            <w:r>
              <w:rPr>
                <w:rFonts w:ascii="仿宋_GB2312" w:hAnsi="仿宋_GB2312" w:cs="仿宋_GB2312" w:eastAsia="仿宋_GB2312"/>
                <w:sz w:val="20"/>
                <w:color w:val="000000"/>
              </w:rPr>
              <w:t>7、《陕西省建设工程施工机械台班费用定额》（2025）；</w:t>
            </w:r>
          </w:p>
          <w:p>
            <w:pPr>
              <w:pStyle w:val="null3"/>
              <w:jc w:val="left"/>
            </w:pPr>
            <w:r>
              <w:rPr>
                <w:rFonts w:ascii="仿宋_GB2312" w:hAnsi="仿宋_GB2312" w:cs="仿宋_GB2312" w:eastAsia="仿宋_GB2312"/>
                <w:sz w:val="20"/>
                <w:color w:val="000000"/>
              </w:rPr>
              <w:t>8、《陕西省建设工程施工仪器仪表台班费用定额》（2025）；</w:t>
            </w:r>
          </w:p>
          <w:p>
            <w:pPr>
              <w:pStyle w:val="null3"/>
              <w:jc w:val="left"/>
            </w:pPr>
            <w:r>
              <w:rPr>
                <w:rFonts w:ascii="仿宋_GB2312" w:hAnsi="仿宋_GB2312" w:cs="仿宋_GB2312" w:eastAsia="仿宋_GB2312"/>
                <w:sz w:val="20"/>
                <w:color w:val="000000"/>
              </w:rPr>
              <w:t>9、陕西省住房和城乡建设厅关于印发 2025 陕西省建设工程费用规则等计价依据的通知》陕建管发[2025]10号文；</w:t>
            </w:r>
          </w:p>
          <w:p>
            <w:pPr>
              <w:pStyle w:val="null3"/>
              <w:jc w:val="left"/>
            </w:pPr>
            <w:r>
              <w:rPr>
                <w:rFonts w:ascii="仿宋_GB2312" w:hAnsi="仿宋_GB2312" w:cs="仿宋_GB2312" w:eastAsia="仿宋_GB2312"/>
                <w:sz w:val="20"/>
                <w:color w:val="000000"/>
              </w:rPr>
              <w:t>10、材料价格采用《西安造价信息（蓝田县）》2025年12月及相关市场价计入；</w:t>
            </w:r>
          </w:p>
          <w:p>
            <w:pPr>
              <w:pStyle w:val="null3"/>
              <w:jc w:val="left"/>
            </w:pPr>
            <w:r>
              <w:rPr>
                <w:rFonts w:ascii="仿宋_GB2312" w:hAnsi="仿宋_GB2312" w:cs="仿宋_GB2312" w:eastAsia="仿宋_GB2312"/>
                <w:sz w:val="20"/>
                <w:color w:val="000000"/>
              </w:rPr>
              <w:t>11、依据工程常规施工方案、国家相关标准及规范技术文件；</w:t>
            </w:r>
          </w:p>
          <w:p>
            <w:pPr>
              <w:pStyle w:val="null3"/>
            </w:pPr>
            <w:r>
              <w:rPr>
                <w:rFonts w:ascii="仿宋_GB2312" w:hAnsi="仿宋_GB2312" w:cs="仿宋_GB2312" w:eastAsia="仿宋_GB2312"/>
                <w:sz w:val="20"/>
                <w:color w:val="000000"/>
              </w:rPr>
              <w:t>12、本工程采用广联达云计价平台 GCCP7.0(7.5000.23.2 版本)。</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施工要求：在施工期间，成交供应商必须注意人员安全，加强安全措施，并对施工人员进行安全教育。施工人员必须持证上岗。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1、工期：30日历天。 2、付款方式：合同签订乙方进场后，甲方向乙方支付合同总价款的40%作为预付款 ；工程完工后，甲方组织相关人员验收合格后，支付至合同总价款的80%；工程结算审核完成后支付至工程审核价款的100%。 3、缺陷责任期：1年。 4、建设地点：蓝田县焦岱镇柳家湾村。 5、各供应商应根据“陕西省财政厅 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以下资料；(1)提供合格有效的法人或者其他组织的营业执照等证明文件，自然人的身份证明；供应商是法人或其他组织的应提供营业执照等证明文件，供应商是自然人的应提供有效的自然人身份证明。(2)提供2024年度或2025年度经审计的财务报告（成立时间至提交响应文件截止时间不足一年的可提供成立后任意时段的资产负债表），或响应截止时间前6个月内银行出具的资信证明；(3)提供响应文件递交截止日前一年内已缴纳的至少一个月的纳税证明或完税证明，依法免税的单位应提供相关证明材料； (4)提供响应文件递交截止日前一年内已缴存的至少一个月的社会保障资金缴存单据或社保机构开具的社会保险参保缴费情况证明，依法不需要缴纳社会保障资金的单位应提供相关证明材料；(5)提供具有履行合同所必需的设备和专业技术能力的承诺；(6)参加政府采购活动前3年内，在经营活动中没有重大违法记录的书面声明。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提供2024年度或2025年度经审计的财务报告（成立时间至提交响应文件截止时间不足一年的可提供成立后任意时段的资产负债表），或响应截止时间前6个月内银行出具的资信证明；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失信查询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代理机构在提交响应文件截止当日查询结果为准）；</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供应商须具备行业主管部门颁发的市政公用工程施工总承包三级及以上资质并具有有效的安全生产许可证；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供应商拟派项目经理须具备行业主管部门颁发的市政公用工程专业二级及以上建造师资质及有效的安全生产考核合格证书（建安B证），在本单位注册且无在建工程；</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供应商基本信息及项目经理基本信息</w:t>
            </w:r>
          </w:p>
        </w:tc>
        <w:tc>
          <w:tcPr>
            <w:tcW w:type="dxa" w:w="3322"/>
          </w:tcPr>
          <w:p>
            <w:pPr>
              <w:pStyle w:val="null3"/>
            </w:pPr>
            <w:r>
              <w:rPr>
                <w:rFonts w:ascii="仿宋_GB2312" w:hAnsi="仿宋_GB2312" w:cs="仿宋_GB2312" w:eastAsia="仿宋_GB2312"/>
              </w:rPr>
              <w:t>供应商基本信息及项目经理基本信息应在“陕西建设网（http://js.shaanxi.gov.cn/ ）陕西省建筑市场监管与诚信信息发布平台”可查询；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不得列为受限行为人</w:t>
            </w:r>
          </w:p>
        </w:tc>
        <w:tc>
          <w:tcPr>
            <w:tcW w:type="dxa" w:w="3322"/>
          </w:tcPr>
          <w:p>
            <w:pPr>
              <w:pStyle w:val="null3"/>
            </w:pPr>
            <w:r>
              <w:rPr>
                <w:rFonts w:ascii="仿宋_GB2312" w:hAnsi="仿宋_GB2312" w:cs="仿宋_GB2312" w:eastAsia="仿宋_GB2312"/>
              </w:rPr>
              <w:t>供应商不得在各级诚信信息平台被列为投标受限制的行为人（以承诺书为准）；</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报价函 标的清单 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按磋商文件要求签字，需盖章处按磋商文件要求盖章。</w:t>
            </w:r>
          </w:p>
        </w:tc>
        <w:tc>
          <w:tcPr>
            <w:tcW w:type="dxa" w:w="1661"/>
          </w:tcPr>
          <w:p>
            <w:pPr>
              <w:pStyle w:val="null3"/>
            </w:pPr>
            <w:r>
              <w:rPr>
                <w:rFonts w:ascii="仿宋_GB2312" w:hAnsi="仿宋_GB2312" w:cs="仿宋_GB2312" w:eastAsia="仿宋_GB2312"/>
              </w:rPr>
              <w:t>陕西省政府采购供应商拒绝政府采购领域商业贿赂承诺书.pdf 供应商类似项目业绩情况表.pdf 中小企业声明函 响应文件封面 技术服务合同条款及其他商务要求应答表.pdf 残疾人福利性单位声明函 磋商方案.pdf 报价函 供应商应提交的相关资格证明材料.pdf 标的清单 响应函 监狱企业的证明文件 分项报价表.pdf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陕西省政府采购供应商拒绝政府采购领域商业贿赂承诺书.pdf 供应商类似项目业绩情况表.pdf 中小企业声明函 响应文件封面 技术服务合同条款及其他商务要求应答表.pdf 残疾人福利性单位声明函 磋商方案.pdf 报价函 供应商应提交的相关资格证明材料.pdf 标的清单 响应函 监狱企业的证明文件 分项报价表.pdf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陕西省政府采购供应商拒绝政府采购领域商业贿赂承诺书.pdf 供应商类似项目业绩情况表.pdf 中小企业声明函 响应文件封面 技术服务合同条款及其他商务要求应答表.pdf 残疾人福利性单位声明函 磋商方案.pdf 报价函 供应商应提交的相关资格证明材料.pdf 标的清单 响应函 监狱企业的证明文件 分项报价表.pdf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供应商根据本项目制定施工方案，施工方案包括：①项目整体实施计划；②项目实施重难点分析及解决措施；③对易发生质量通病，易出现安全问题，施工难度大，技术含量高的部分进行说明并给出施工保障措施和专项技术方案（含主要施工方法，组织措施，检验手段等）；④施工现场管理制度；⑤农民工工资保障；⑥合同及施工资料的管理。 2、评审标准： 以上内容专门针对本项目且阐述明晰、全面、合理得18分，每缺一项内容扣3分，若上述内容存在缺陷，每存在1处缺陷扣1分，扣完为止。未提供不得分。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确保工程质量的技术组织措施内容包括：①工程质量管理工作流程；②工程质量保障方案；③工程质量控制体系；④材料和构配件的质量控制；⑤施工检测及工序交验方案。 2、评审标准： 以上内容专门针对本项目且阐述明晰、全面、合理得 10分，每缺一项内容扣2分，若上述内容存在缺陷，每存在1处缺陷扣1分，扣完为止。未提供不得分。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 确保安全生产的技术组织措施内容包括：①安全生产管理制度；②配置安全组织机构；③安全隐患排查、整改制度；④应急救援机制。 2、评审标准： 以上内容专门针对本项目且阐述明晰、全面、合理得 8 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 确保文明施工的技术组织措施及环境保护措施内容包括：①文明及环境保护管理制度；②防尘降噪措施；③节能减排措施；④文明及环境保护施工监督检查机制。 2、评审标准： 以上内容专门针对本项目且阐述明晰、全面、合理得8分，每缺一项内容扣2分，若上述内容存在缺陷，每存在1处缺陷扣1分，扣完为止。未提供不得分。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确保工期的技术组织措施及进度保障措施</w:t>
            </w:r>
          </w:p>
        </w:tc>
        <w:tc>
          <w:tcPr>
            <w:tcW w:type="dxa" w:w="2492"/>
          </w:tcPr>
          <w:p>
            <w:pPr>
              <w:pStyle w:val="null3"/>
            </w:pPr>
            <w:r>
              <w:rPr>
                <w:rFonts w:ascii="仿宋_GB2312" w:hAnsi="仿宋_GB2312" w:cs="仿宋_GB2312" w:eastAsia="仿宋_GB2312"/>
              </w:rPr>
              <w:t>1、评审内容： 工期的技术组织措施及进度保障措施，内容包含：①工期管理制度；②工期保证措施；③节点工期的控制措施；④进度保障措施。 2、评审标准： 以上内容专门针对本项目且阐述明晰、全面、合理得 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项目组织管理机构及人员施工组织安排</w:t>
            </w:r>
          </w:p>
        </w:tc>
        <w:tc>
          <w:tcPr>
            <w:tcW w:type="dxa" w:w="2492"/>
          </w:tcPr>
          <w:p>
            <w:pPr>
              <w:pStyle w:val="null3"/>
            </w:pPr>
            <w:r>
              <w:rPr>
                <w:rFonts w:ascii="仿宋_GB2312" w:hAnsi="仿宋_GB2312" w:cs="仿宋_GB2312" w:eastAsia="仿宋_GB2312"/>
              </w:rPr>
              <w:t>1、评审内容： 项目组织管理机构及人员施工组织安排内容至少包括：①项目管理机构图；②岗位安排及职责（至少需配备施工员、安全员、资料员、材料员、质量员等）；③人员管理制度；④相应的协调措施。 2、评审标准： 以上内容专门针对本项目且阐述明晰、全面、合理得8 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供应商针对本项目编制完善的服务承诺，内容包含：①针对本项目实际需求提供实质性服务承诺及保障措施；②针对本项目施工验收后期的质保承诺。 2、评审标准： 以上内容专门针对本项目且阐述明晰、全面、合理得 4分，每缺一项内容扣2分，若上述内容存在缺陷，每存在1处缺陷扣1分，扣完为止。未提供不得分。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提供2023年3月1日至今完成过的类似工程项目业绩。每提供一个业绩证明得 2分，最多得6分。（以合同复印件为准，时间以合同签订日期为准）。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供应商类似项目业绩情况表.pdf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 注：经评委一致认定，供应商的磋商最终总报价低于公认市场成本，或超过采购预算,其磋商响应将被拒绝。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分项报价表.pdf</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详见附件：供应商类似项目业绩情况表.pdf</w:t>
      </w:r>
    </w:p>
    <w:p>
      <w:pPr>
        <w:pStyle w:val="null3"/>
        <w:ind w:firstLine="960"/>
      </w:pPr>
      <w:r>
        <w:rPr>
          <w:rFonts w:ascii="仿宋_GB2312" w:hAnsi="仿宋_GB2312" w:cs="仿宋_GB2312" w:eastAsia="仿宋_GB2312"/>
        </w:rPr>
        <w:t>详见附件：技术服务合同条款及其他商务要求应答表.pdf</w:t>
      </w:r>
    </w:p>
    <w:p>
      <w:pPr>
        <w:pStyle w:val="null3"/>
        <w:ind w:firstLine="960"/>
      </w:pPr>
      <w:r>
        <w:rPr>
          <w:rFonts w:ascii="仿宋_GB2312" w:hAnsi="仿宋_GB2312" w:cs="仿宋_GB2312" w:eastAsia="仿宋_GB2312"/>
        </w:rPr>
        <w:t>详见附件：磋商方案.pdf</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详见附件：合同范本（总包合同）.docx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