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版本号：HXGJXM2026-ZC-CS101220260402001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2025年蓝田猿人遗址保护规划编制项目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HXGJXM2026-ZC-CS1012</w:t>
      </w:r>
      <w:r>
        <w:br/>
      </w:r>
      <w:r>
        <w:br/>
      </w:r>
      <w:r>
        <w:br/>
      </w:r>
    </w:p>
    <w:p>
      <w:pPr>
        <w:pStyle w:val="null3"/>
        <w:jc w:val="center"/>
        <w:outlineLvl w:val="2"/>
      </w:pPr>
      <w:r>
        <w:rPr>
          <w:rFonts w:ascii="仿宋_GB2312" w:hAnsi="仿宋_GB2312" w:cs="仿宋_GB2312" w:eastAsia="仿宋_GB2312"/>
          <w:sz w:val="28"/>
          <w:b/>
        </w:rPr>
        <w:t>西安市蓝田县文化和旅游体育局（本级）</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西安市蓝田县文化和旅游体育局（本级）</w:t>
      </w:r>
      <w:r>
        <w:rPr>
          <w:rFonts w:ascii="仿宋_GB2312" w:hAnsi="仿宋_GB2312" w:cs="仿宋_GB2312" w:eastAsia="仿宋_GB2312"/>
        </w:rPr>
        <w:t>委托，拟对</w:t>
      </w:r>
      <w:r>
        <w:rPr>
          <w:rFonts w:ascii="仿宋_GB2312" w:hAnsi="仿宋_GB2312" w:cs="仿宋_GB2312" w:eastAsia="仿宋_GB2312"/>
        </w:rPr>
        <w:t>2025年蓝田猿人遗址保护规划编制项目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2025年蓝田猿人遗址保护规划编制项目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2025年蓝田猿人遗址保护规划编制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采购包1（2025年蓝田猿人遗址保护规划编制项目）：属于专门面向中小企业采购。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参加磋商的提供法定代表人身份证明及身份证，委托代理人参加磋商的提供授权委托书、被授权人身份证及被授权人磋商截止日前一年内在本单位已缴存的至少一个月的社会保险参保缴费证明；自然人只需提供身份证；备注：分支机构由分支机构负责人授权即可；</w:t>
      </w:r>
    </w:p>
    <w:p>
      <w:pPr>
        <w:pStyle w:val="null3"/>
      </w:pPr>
      <w:r>
        <w:rPr>
          <w:rFonts w:ascii="仿宋_GB2312" w:hAnsi="仿宋_GB2312" w:cs="仿宋_GB2312" w:eastAsia="仿宋_GB2312"/>
        </w:rPr>
        <w:t>2、供应商资质：具有文物保护工程勘察设计甲级资质；</w:t>
      </w:r>
    </w:p>
    <w:p>
      <w:pPr>
        <w:pStyle w:val="null3"/>
      </w:pPr>
      <w:r>
        <w:rPr>
          <w:rFonts w:ascii="仿宋_GB2312" w:hAnsi="仿宋_GB2312" w:cs="仿宋_GB2312" w:eastAsia="仿宋_GB2312"/>
        </w:rPr>
        <w:t>3、信用信息查询：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p>
      <w:pPr>
        <w:pStyle w:val="null3"/>
      </w:pPr>
      <w:r>
        <w:rPr>
          <w:rFonts w:ascii="仿宋_GB2312" w:hAnsi="仿宋_GB2312" w:cs="仿宋_GB2312" w:eastAsia="仿宋_GB2312"/>
        </w:rPr>
        <w:t>4、本项目不接受联合体磋商：本项目不接受联合体磋商（提供书面声明材料）。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西安市蓝田县文化和旅游体育局（本级）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蓝田县政府大院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焦科长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029-82732370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魏依依、张宝育、康敏茹、张艳萍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采购包1：522,800.00元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代理服务费收费标准：1.定额收取：10000.00元。 成交单位在领取成交通知书前，须向采购代理机构一次性支付招标代理服务费； 2.招标代理服务费由中标供应商支付，在领取《中标通知书》前，由中标供应商一次性支付给华夏国际项目管理有限公司。招标代理服务费缴纳账户：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西安市蓝田县文化和旅游体育局（本级）</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西安市蓝田县文化和旅游体育局（本级）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西安市蓝田县文化和旅游体育局（本级）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验收方式：采购人应在供应商完成相关服务工作并提交成果文件后，组织相关专家对成果文件进行质量评审验收。 验收标准：符合现行国家及地方行业技术标准、规程、规范和强制性条文的要求，成果应确保资料完整、真实可靠，并通过相关主管部门评审。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联系人：魏依依、张宝育、康敏茹、张艳萍</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2025年蓝田猿人遗址保护规划编制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522,800.00</w:t>
      </w:r>
    </w:p>
    <w:p>
      <w:pPr>
        <w:pStyle w:val="null3"/>
      </w:pPr>
      <w:r>
        <w:rPr>
          <w:rFonts w:ascii="仿宋_GB2312" w:hAnsi="仿宋_GB2312" w:cs="仿宋_GB2312" w:eastAsia="仿宋_GB2312"/>
        </w:rPr>
        <w:t>采购包最高限价（元）: 522,800.00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2025年蓝田猿人遗址保护规划编制项目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522,800.00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标的名称：2025年蓝田猿人遗址保护规划编制项目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项目概况</w:t>
            </w:r>
          </w:p>
          <w:p>
            <w:pPr>
              <w:pStyle w:val="null3"/>
            </w:pPr>
            <w:r>
              <w:rPr>
                <w:rFonts w:ascii="仿宋_GB2312" w:hAnsi="仿宋_GB2312" w:cs="仿宋_GB2312" w:eastAsia="仿宋_GB2312"/>
              </w:rPr>
              <w:t>蓝田猿人遗址位于陕西省西安市东南蓝田县九间房镇公王村及洩湖镇陈家窝子村，是旧石器时代早期遗址，包含公王岭和陈家窝两处遗址，出土的石器主要为大尖状器、砍砸器、刮削器、石球和石片、石核等。1982年公布为第二批全国重点文物保护单位，公布类型为古遗址。蓝田猿人出土地的公王岭地层典型、完整，是研究人类进化史及古地貌和冰川活动的罕见基地。蓝田猿人化石是亚洲北部迄今发现最古老的直立人化石，它的发现，不仅扩大了中国猿人的分布范围，增加了世界猿人化石的分布点，也极大地丰富了中国旧石器时代考古的内涵，对探索人类起源和古人类的迁徙和演变具有重大意义。蓝田猿人遗址是秦岭文化遗产体系的重要组成部分，是打造中华文明精神标识和自然标识的重要支撑。目前，蓝田猿人遗址开放展示主要集中在公王岭遗址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服务内容</w:t>
            </w:r>
          </w:p>
          <w:p>
            <w:pPr>
              <w:pStyle w:val="null3"/>
            </w:pPr>
            <w:r>
              <w:rPr>
                <w:rFonts w:ascii="仿宋_GB2312" w:hAnsi="仿宋_GB2312" w:cs="仿宋_GB2312" w:eastAsia="仿宋_GB2312"/>
              </w:rPr>
              <w:t>遵循《全国重点文物保护单位保护规划编制审批办法》要求，勘察范围覆盖蓝田猿人遗址全部保护区域及周边影响区域，针对遗址本体保护、日常管理、周边环境、展示利用开展专项勘察和详细评估，并完成《蓝田猿人遗址保护规划》编制全流程工作，包括但不限于现状勘察、测绘、价值评估、保护范围与建设控制地带划定、保护措施制定、环境整治规划、展示利用规划、管理规划编制、实施时序安排、投资估算编制、与国土空间规划衔接、专家评审配合、按评审意见修改完善及报批至取得正式批复等。同步提供全套纸质成果与电子成果，成果全部版权归采购人及供应商双方所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严格执行《全国重点文物保护单位保护规划编制审批办法》《全国重点文物保护单位保护规划编制要求》及2024年修订《中华人民共和国文物保护法》等相关规定，规划成果须签章齐全、编制深度符合国家及行业标准；成果清单包含文本、图纸、数据库等全套资料，图纸须覆盖保护范围、建设控制地带及环境协调区。</w:t>
            </w:r>
          </w:p>
          <w:p>
            <w:pPr>
              <w:pStyle w:val="null3"/>
            </w:pPr>
            <w:r>
              <w:rPr>
                <w:rFonts w:ascii="仿宋_GB2312" w:hAnsi="仿宋_GB2312" w:cs="仿宋_GB2312" w:eastAsia="仿宋_GB2312"/>
              </w:rPr>
              <w:t>文物保护单位保护规划设计成果的各组成部分要求如下：</w:t>
            </w:r>
          </w:p>
          <w:p>
            <w:pPr>
              <w:pStyle w:val="null3"/>
            </w:pPr>
            <w:r>
              <w:rPr>
                <w:rFonts w:ascii="仿宋_GB2312" w:hAnsi="仿宋_GB2312" w:cs="仿宋_GB2312" w:eastAsia="仿宋_GB2312"/>
              </w:rPr>
              <w:t>（一）规划文本：表达规划的意图、目标和对规划的有关内容提出的规定性要求，文字表达应当规范、准确、肯定、含义清楚。</w:t>
            </w:r>
          </w:p>
          <w:p>
            <w:pPr>
              <w:pStyle w:val="null3"/>
            </w:pPr>
            <w:r>
              <w:rPr>
                <w:rFonts w:ascii="仿宋_GB2312" w:hAnsi="仿宋_GB2312" w:cs="仿宋_GB2312" w:eastAsia="仿宋_GB2312"/>
              </w:rPr>
              <w:t>（二）规划图纸：用图像表达现状和规划内容。要求清晰准确，图例统一，图纸表达内容应与规划文本一致。规划图纸应绘制在近期测绘的现状地形图上，规划图上应显示出现状和地形。图纸上应标注图名、比例尺、图例、绘制时间、规划设计单位名称。</w:t>
            </w:r>
          </w:p>
          <w:p>
            <w:pPr>
              <w:pStyle w:val="null3"/>
            </w:pPr>
            <w:r>
              <w:rPr>
                <w:rFonts w:ascii="仿宋_GB2312" w:hAnsi="仿宋_GB2312" w:cs="仿宋_GB2312" w:eastAsia="仿宋_GB2312"/>
              </w:rPr>
              <w:t>（三）规划说明：内容包括文物保护单位的价值与重要性、现状、管理等各项评估的详细内容，论证规划意图，解释规划文本等。</w:t>
            </w:r>
          </w:p>
          <w:p>
            <w:pPr>
              <w:pStyle w:val="null3"/>
            </w:pPr>
            <w:r>
              <w:rPr>
                <w:rFonts w:ascii="仿宋_GB2312" w:hAnsi="仿宋_GB2312" w:cs="仿宋_GB2312" w:eastAsia="仿宋_GB2312"/>
              </w:rPr>
              <w:t>（四）基础资料汇编：内容包括有关文物保护单位的各类基础资料与规划依据等。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1.供应商需主动配合采购人开展各项工作，及时响应采购人合理要求，按时提交各类成果。</w:t>
            </w:r>
          </w:p>
          <w:p>
            <w:pPr>
              <w:pStyle w:val="null3"/>
            </w:pPr>
            <w:r>
              <w:rPr>
                <w:rFonts w:ascii="仿宋_GB2312" w:hAnsi="仿宋_GB2312" w:cs="仿宋_GB2312" w:eastAsia="仿宋_GB2312"/>
              </w:rPr>
              <w:t>2.供应商应配合采购人完成第三方预审核、部门初审、省级专家评审，根据评审意见修改完善并最终完成成果定稿、印刷、交付，同步提交所有成果电子版及纸质版。</w:t>
            </w:r>
          </w:p>
          <w:p>
            <w:pPr>
              <w:pStyle w:val="null3"/>
            </w:pPr>
            <w:r>
              <w:rPr>
                <w:rFonts w:ascii="仿宋_GB2312" w:hAnsi="仿宋_GB2312" w:cs="仿宋_GB2312" w:eastAsia="仿宋_GB2312"/>
              </w:rPr>
              <w:t>3.供应商应以符合《中华人民共和国文物保护法》《中华人民共和国文物保护法实施条例》《陕西省文物保护条例》以及国家相关文物保护规划和行业标准为原则要求，对蓝田猿人遗址保护利用情况进行全面的评估，规划内容完整，涵盖保护目标、保护范围、保护措施、分期实施计划、投资估算等核心内容，贴合秦岭生态保护要求及地方规划，公众参与及部门意见征求符合流程，记录完整，规划成果通过省级专家评审及相关部门审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本项目服务总周期为1年，自双方签订正式合同之日起计算，至供应商完成全部编制工作并取得文物主管部门正式批复文件之日止。工作阶段时间表详见服务合同。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验收方式：采购人应在供应商完成相关服务工作并提交成果文件后，组织相关专家对成果文件进行质量评审验收。 验收标准：符合现行国家及地方行业技术标准、规程、规范和强制性条文的要求，成果应确保资料完整、真实可靠，并通过相关主管部门评审。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合同签订后开具符合规定的发票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供应商完成相关服务工作并提交成果文件后开具符合规定的发票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通过省级专家评审及相关部门审批后开具符合规定的发票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本合同在履行过程中发生的争议，由采购人、供应商双方当事人协商解决，协商不成的按下列第（二）种方式解决：（一）提交西安仲裁委员会仲裁；（二）依法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1.本项目采购标的所属行业为其他未列明行业。（按照《工信部 国家统计局 发改委 财政部 工信部联企业》中小企业划型标准（〔2011〕300号）规定：从业人员300人以下的为中小微型企业。其中，从业人员100人及以上的为中型企业；从业人员10人及以上的为小型企业；从业人员10人以下的为微型企业。 2.成交单位在成交后需向采购人提供纸质响应文件正本壹份、副本壹份，用于项目归档使用。纸质版与上传版必须保持一致，若纸质版响应文件与上传政府采购系统电子版文件不一致时，以政府采购平台上传版为准。 3.供应商应在规定的时间内完成服务内容，并做好相关资料、台账的整理和归档工作。供应商完成并交付的工作成果需经采购人验收合格，则视为接受。如果在验收时采购人表明不接受供应商提交的工作成果并明示不接受的原因，供应商应当采取合理措施进行修改，以达到合同规定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供应商需在项目电子化交易系统中按要求填写《投标函》完成承诺并进行电子签章。提供以下资料： 1.主体资格证明：具有独立承担民事责任能力的法人或其他组织，提供有效存续的营业执照或事业单位法人证书或非企业专业服务机构执业许可证或民办非企业单位登记证书或自然人的身份证明； 2.财务状况报告：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3.税收缴纳证明：提供2025年3月起已缴纳的任意一个月的纳税证明或完税证明，纳税证明或完税证明上应有代收机构或税务机关的公章或业务专用章。依法免税的供应商应提供相关文件证明； 4.具有履行合同所必需的设备和专业技术能力的承诺：供应商须提供具有履行合同所必需的设备和专业技术能力的承诺； 5.社会保障资金缴纳证明：提供2025年3月起任意一个月的社会保障资金缴存单据或社保机构开具的社会保险参保缴费情况证明，依法不需要缴纳社会保障资金的单位应提供相关证明材料； 6.三年内无重大违法记录声明：出具参加本次政府采购活动前三年内在经营活动中没有重大违法记录的书面声明；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被授权人身份证及被授权人磋商截止日前一年内在本单位已缴存的至少一个月的社会保险参保缴费证明；自然人只需提供身份证；备注：分支机构由分支机构负责人授权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具有文物保护工程勘察设计甲级资质；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按要求编制</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按要求签署盖章</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实质上响应磋商文件，磋商文件允许偏离的除外</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完整响应磋商文件合同条款</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项目的认识与理解</w:t>
            </w:r>
          </w:p>
        </w:tc>
        <w:tc>
          <w:tcPr>
            <w:tcW w:type="dxa" w:w="2492"/>
          </w:tcPr>
          <w:p>
            <w:pPr>
              <w:pStyle w:val="null3"/>
            </w:pPr>
            <w:r>
              <w:rPr>
                <w:rFonts w:ascii="仿宋_GB2312" w:hAnsi="仿宋_GB2312" w:cs="仿宋_GB2312" w:eastAsia="仿宋_GB2312"/>
              </w:rPr>
              <w:t>针对本项目，供应商能充分了解本项目需求和实施特点，理解本项目的采购需求（包括：①对本项目的文物保护意识②了解文化背景及服务思路③提供针对本项目规划的整体思路④保护目标与原则⑤政策与法规依据）。 以上五项内容完整、不存在瑕疵，得10分；每缺一项扣2分，存在瑕疵的一项扣0.5—1.5分，扣完为止。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遗址保护规划编制制定科学、合理可行实施方案，包括①详细工作计划与技术流程②符合文物保护项目实际情况，可操作性强的工作方法③完善的数据整理措施④组织实施分工⑤项目规划的重点、难点定位分析⑥重点、难点解决方案及保障措施⑦资料收集方案⑧现状调研及综合分析⑨质量控制体系⑩整体服务方案。 以上10项内容完整、不存在瑕疵，得30分；每缺一项扣3分，存在瑕疵的一项扣0.5—2.5分，扣完为止。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阐述本项目负责人及项目组成人员的职责分工及各环节各岗位人员的详细配置（提供拟派人员履历等证明文件）。 1.项目负责人具有相关专业高级职称计2分；未提供不得分。 2.其他人员（项目负责人除外）具有文物保护工程责任设计师或注册规划师证书，每提供一份计1分，共计5分。 注：以上人员不重复计分，响应文件中提供证书复印件加盖公章。 3.项目团队人员分工明确，人员配置齐全、人员履历贴合项目需求的计5分； 人员配置齐全但分工不明确，不利于项目实施的计3分； 人员配置欠缺，不利于项目实施的记1分；未提供的不计分。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设施设备组成</w:t>
            </w:r>
          </w:p>
        </w:tc>
        <w:tc>
          <w:tcPr>
            <w:tcW w:type="dxa" w:w="2492"/>
          </w:tcPr>
          <w:p>
            <w:pPr>
              <w:pStyle w:val="null3"/>
            </w:pPr>
            <w:r>
              <w:rPr>
                <w:rFonts w:ascii="仿宋_GB2312" w:hAnsi="仿宋_GB2312" w:cs="仿宋_GB2312" w:eastAsia="仿宋_GB2312"/>
              </w:rPr>
              <w:t>提供针对本项目数据分析处理及相关设备清单，并提供相应证明材料。清单完整详细，设备及证明材料齐全，能保障项目顺利实施计5分；清单完整，设备及证明材料基本齐全，基本满足采购人需求计3分；清单简单，设备或证明材料欠缺，无法保障项目顺利实施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应急措施方案</w:t>
            </w:r>
          </w:p>
        </w:tc>
        <w:tc>
          <w:tcPr>
            <w:tcW w:type="dxa" w:w="2492"/>
          </w:tcPr>
          <w:p>
            <w:pPr>
              <w:pStyle w:val="null3"/>
            </w:pPr>
            <w:r>
              <w:rPr>
                <w:rFonts w:ascii="仿宋_GB2312" w:hAnsi="仿宋_GB2312" w:cs="仿宋_GB2312" w:eastAsia="仿宋_GB2312"/>
              </w:rPr>
              <w:t>供应商针对本项目提出具体的应急磋商方案，内容包含：①预防与预警、应急响应；②后期恢复、保障机制。方案各部分内容全面详细、阐述条理清晰详尽、符合本项目采购需求得6分，评审内容每缺一项扣3分，评审内容有缺陷未完全响应评审标准的扣0.5—2.5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投标人针对本项目有详细、可行的服务承诺，包括前期准备中、组织实施时、提交成果后及相关者沟通等各项服务措施。服务承诺及措施合理可行计5分； 服务承诺及措施满足项目需求计3分； 服务承诺宽泛不利于项目实施记1分；未提供的不计分。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提供针对本项目的其他合理化建议及意见，每提供1条得1分，满分2分；未提供的不计分。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提供供应商2023年1月至今类似业绩合同（以合同签订时间为准），每提供一份得2分，最高得10分，未提供不得分。 评审标准：提供完整合同复印件加盖供应商公章。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满足磋商文件要求的有效磋商报价的最小值为评审基准价，其价格分为满分。其他响应供应商的价格分统一按照下列公式计算：磋商报价得分=（评审基准价／磋商报价）×价格权值×100。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