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版本号：SXXP-2026-01520260402001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蓝田县2025年教育基础设施建设项目蓝田县华胥初级中学修缮工程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SXXP-2026-015</w:t>
      </w:r>
      <w:r>
        <w:br/>
      </w:r>
      <w:r>
        <w:br/>
      </w:r>
      <w:r>
        <w:br/>
      </w:r>
    </w:p>
    <w:p>
      <w:pPr>
        <w:pStyle w:val="null3"/>
        <w:jc w:val="center"/>
        <w:outlineLvl w:val="2"/>
      </w:pPr>
      <w:r>
        <w:rPr>
          <w:rFonts w:ascii="仿宋_GB2312" w:hAnsi="仿宋_GB2312" w:cs="仿宋_GB2312" w:eastAsia="仿宋_GB2312"/>
          <w:sz w:val="28"/>
          <w:b/>
        </w:rPr>
        <w:t>西安市蓝田县教育和科学技术局（本级）</w:t>
      </w:r>
    </w:p>
    <w:p>
      <w:pPr>
        <w:pStyle w:val="null3"/>
        <w:jc w:val="center"/>
        <w:outlineLvl w:val="2"/>
      </w:pPr>
      <w:r>
        <w:rPr>
          <w:rFonts w:ascii="仿宋_GB2312" w:hAnsi="仿宋_GB2312" w:cs="仿宋_GB2312" w:eastAsia="仿宋_GB2312"/>
          <w:sz w:val="28"/>
          <w:b/>
        </w:rPr>
        <w:t>陕西信鹏项目管理有限公司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陕西信鹏项目管理有限公司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西安市蓝田县教育和科学技术局（本级）</w:t>
      </w:r>
      <w:r>
        <w:rPr>
          <w:rFonts w:ascii="仿宋_GB2312" w:hAnsi="仿宋_GB2312" w:cs="仿宋_GB2312" w:eastAsia="仿宋_GB2312"/>
        </w:rPr>
        <w:t>委托，拟对</w:t>
      </w:r>
      <w:r>
        <w:rPr>
          <w:rFonts w:ascii="仿宋_GB2312" w:hAnsi="仿宋_GB2312" w:cs="仿宋_GB2312" w:eastAsia="仿宋_GB2312"/>
        </w:rPr>
        <w:t>蓝田县2025年教育基础设施建设项目蓝田县华胥初级中学修缮工程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SXXP-2026-015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蓝田县2025年教育基础设施建设项目蓝田县华胥初级中学修缮工程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蓝田县2025年教育基础设施建设项目蓝田县华胥初级中学修缮工程，包括食堂室内、外立面修缮、屋面修复；1#教学楼、2#教学楼室内、外立面修缮；门卫室地面、屋面修缮；运动场地修缮等。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采购包1（蓝田县2025年教育基础设施建设项目蓝田县华胥初级中学修缮工程）：属于专门面向中小企业采购。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2、财务状况报告：提供2024年度或2025年度经审计的财务审计报告或开标前三个月内开户银行开具的资信证明</w:t>
      </w:r>
    </w:p>
    <w:p>
      <w:pPr>
        <w:pStyle w:val="null3"/>
      </w:pPr>
      <w:r>
        <w:rPr>
          <w:rFonts w:ascii="仿宋_GB2312" w:hAnsi="仿宋_GB2312" w:cs="仿宋_GB2312" w:eastAsia="仿宋_GB2312"/>
        </w:rPr>
        <w:t>3、税收缴纳证明：提供2025年6月至今已缴纳的至少一个月的纳税证明或完税证明（任意税种），依法免税的单位应提供相关证明材料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5、企业资质：供应商须具备建设行政主管部门颁发的建筑工程施工总承包三级及以上资质，并具有合法有效的安全生产许可证</w:t>
      </w:r>
    </w:p>
    <w:p>
      <w:pPr>
        <w:pStyle w:val="null3"/>
      </w:pPr>
      <w:r>
        <w:rPr>
          <w:rFonts w:ascii="仿宋_GB2312" w:hAnsi="仿宋_GB2312" w:cs="仿宋_GB2312" w:eastAsia="仿宋_GB2312"/>
        </w:rPr>
        <w:t>6、拟派项目经理资质：拟派项目经理须具备建筑工程专业二级及以上注册建造师资格，并持有效的安全生产考核合格证书（B证），在本单位注册，且未担任其他在建工程项目的项目经理</w:t>
      </w:r>
    </w:p>
    <w:p>
      <w:pPr>
        <w:pStyle w:val="null3"/>
      </w:pPr>
      <w:r>
        <w:rPr>
          <w:rFonts w:ascii="仿宋_GB2312" w:hAnsi="仿宋_GB2312" w:cs="仿宋_GB2312" w:eastAsia="仿宋_GB2312"/>
        </w:rPr>
        <w:t>7、履约能力声明：提供具有履行本合同所必需的设备和专业技术能力的声明</w:t>
      </w:r>
    </w:p>
    <w:p>
      <w:pPr>
        <w:pStyle w:val="null3"/>
      </w:pPr>
      <w:r>
        <w:rPr>
          <w:rFonts w:ascii="仿宋_GB2312" w:hAnsi="仿宋_GB2312" w:cs="仿宋_GB2312" w:eastAsia="仿宋_GB2312"/>
        </w:rPr>
        <w:t>8、企业信誉：参加本次政府采购活动前3年内在经营活动中没有重大违纪，以及未被列入失信被执行人、重大税收违法失信主体、政府采购严重违法失信行为记录名单的书面声明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9、身份授权：供应商应授权合法的人员参加投标全过程，其中法定代表人直接参加投标的，须出具法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10、关联、控股关系：供应商负责人不得为同一人或者存在控股、管理关系</w:t>
      </w:r>
    </w:p>
    <w:p>
      <w:pPr>
        <w:pStyle w:val="null3"/>
      </w:pPr>
      <w:r>
        <w:rPr>
          <w:rFonts w:ascii="仿宋_GB2312" w:hAnsi="仿宋_GB2312" w:cs="仿宋_GB2312" w:eastAsia="仿宋_GB2312"/>
        </w:rPr>
        <w:t>11、中小企业声明函：本项目为专门面向中小企业项目：供应商须为中型企业或者小型、微型企业或监狱企业或残疾人福利性单位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西安市蓝田县教育和科学技术局（本级）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蓝田县北环路十字东北角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代永锋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029-82726883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陕西信鹏项目管理有限公司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陕西省西安市未央区陕西省西安市经济技术开发区凤城十二路凯瑞B座1单元9层A0906号房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孙媛春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029-86688218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李晓东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印发《招标代理服务收费管理暂行办法》的通知（计价格[2002]1980号）文件、发改价格[2011]534号文件及国家发改委印发的《关于进一步放开建设项目专业服务价格的通知》[2015]299号文件的收取标准计取。按相关标准计算后，招标代理服务费由成交单位在领取成交通知书前一次性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西安市蓝田县教育和科学技术局（本级）</w:t>
      </w:r>
      <w:r>
        <w:rPr>
          <w:rFonts w:ascii="仿宋_GB2312" w:hAnsi="仿宋_GB2312" w:cs="仿宋_GB2312" w:eastAsia="仿宋_GB2312"/>
        </w:rPr>
        <w:t>和</w:t>
      </w:r>
      <w:r>
        <w:rPr>
          <w:rFonts w:ascii="仿宋_GB2312" w:hAnsi="仿宋_GB2312" w:cs="仿宋_GB2312" w:eastAsia="仿宋_GB2312"/>
        </w:rPr>
        <w:t>陕西信鹏项目管理有限公司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西安市蓝田县教育和科学技术局（本级）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陕西信鹏项目管理有限公司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西安市蓝田县教育和科学技术局（本级）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陕西信鹏项目管理有限公司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陕西信鹏项目管理有限公司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陕西信鹏项目管理有限公司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陕西信鹏项目管理有限公司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联系人：孙媛春</w:t>
      </w:r>
    </w:p>
    <w:p>
      <w:pPr>
        <w:pStyle w:val="null3"/>
      </w:pPr>
      <w:r>
        <w:rPr>
          <w:rFonts w:ascii="仿宋_GB2312" w:hAnsi="仿宋_GB2312" w:cs="仿宋_GB2312" w:eastAsia="仿宋_GB2312"/>
        </w:rPr>
        <w:t>联系电话：029-86688218</w:t>
      </w:r>
    </w:p>
    <w:p>
      <w:pPr>
        <w:pStyle w:val="null3"/>
      </w:pPr>
      <w:r>
        <w:rPr>
          <w:rFonts w:ascii="仿宋_GB2312" w:hAnsi="仿宋_GB2312" w:cs="仿宋_GB2312" w:eastAsia="仿宋_GB2312"/>
        </w:rPr>
        <w:t>地址：西安市经济技术开发区凤城十二路凯瑞B座1单元9层A0906号房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3,250,000.00</w:t>
      </w:r>
    </w:p>
    <w:p>
      <w:pPr>
        <w:pStyle w:val="null3"/>
      </w:pPr>
      <w:r>
        <w:rPr>
          <w:rFonts w:ascii="仿宋_GB2312" w:hAnsi="仿宋_GB2312" w:cs="仿宋_GB2312" w:eastAsia="仿宋_GB2312"/>
        </w:rPr>
        <w:t>采购包最高限价（元）: 2,464,716.14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蓝田县2025年教育基础设施建设项目蓝田县华胥初级中学修缮工程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标的名称：蓝田县2025年教育基础设施建设项目蓝田县华胥初级中学修缮工程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详见工程量清单、图纸等</w:t>
            </w:r>
            <w:r>
              <w:rPr>
                <w:rFonts w:ascii="仿宋_GB2312" w:hAnsi="仿宋_GB2312" w:cs="仿宋_GB2312" w:eastAsia="仿宋_GB2312"/>
                <w:sz w:val="21"/>
              </w:rPr>
              <w:t>，图纸与工程量清单不一致时以工程量清单为准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施工要求：在施工期间，成交供应商必须注意人员安全，加强安全措施，并对施工人员进行安全教育。施工人员必须持证上岗。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投标文件及电子版1份（签字盖章扫描PDF和word文档格式，U盘存储）。2.供应商应自响应文件递交截止时间起至开标结束，保持在线状态。3.质量保修期：(1)屋面防水工程、有防水要求的卫生间、房间和外墙面的防渗为5年；(2)装修工程为3年；(3)电气管线、给排水管道、设备安装工程为2年；(4)给排水设施、道路等配套工程为2年。4.本项目合同计价方式为固定总价合同。5.工期：合同签订后60日历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提供2024年度或2025年度经审计的财务审计报告或开标前三个月内开户银行开具的资信证明；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供应商应提交的相关资格证明材料1.docx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提供2024年度或2025年度经审计的财务审计报告或开标前三个月内开户银行开具的资信证明</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供应商须具备建设行政主管部门颁发的建筑工程施工总承包三级及以上资质，并具有合法有效的安全生产许可证</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拟派项目经理资质</w:t>
            </w:r>
          </w:p>
        </w:tc>
        <w:tc>
          <w:tcPr>
            <w:tcW w:type="dxa" w:w="3322"/>
          </w:tcPr>
          <w:p>
            <w:pPr>
              <w:pStyle w:val="null3"/>
            </w:pPr>
            <w:r>
              <w:rPr>
                <w:rFonts w:ascii="仿宋_GB2312" w:hAnsi="仿宋_GB2312" w:cs="仿宋_GB2312" w:eastAsia="仿宋_GB2312"/>
              </w:rPr>
              <w:t>拟派项目经理须具备建筑工程专业二级及以上注册建造师资格，并持有效的安全生产考核合格证书（B证），在本单位注册，且未担任其他在建工程项目的项目经理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关联、控股关系</w:t>
            </w:r>
          </w:p>
        </w:tc>
        <w:tc>
          <w:tcPr>
            <w:tcW w:type="dxa" w:w="3322"/>
          </w:tcPr>
          <w:p>
            <w:pPr>
              <w:pStyle w:val="null3"/>
            </w:pPr>
            <w:r>
              <w:rPr>
                <w:rFonts w:ascii="仿宋_GB2312" w:hAnsi="仿宋_GB2312" w:cs="仿宋_GB2312" w:eastAsia="仿宋_GB2312"/>
              </w:rPr>
              <w:t>供应商负责人不得为同一人或者存在控股、管理关系</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中小企业声明函 供应商应提交的相关资格证明材料1.docx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按照《关于推动解决政府采购异常低价问题的通知》(财库〔2026〕2号)规定，出现下列情形之一的，评审委员会应当启动异常低价投标（响应）审查程序：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分项报价表.docx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在响应文件中指定落款处，按文件要求盖章或签字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响应文件封面 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响应（投标）内容</w:t>
            </w:r>
          </w:p>
        </w:tc>
        <w:tc>
          <w:tcPr>
            <w:tcW w:type="dxa" w:w="3322"/>
          </w:tcPr>
          <w:p>
            <w:pPr>
              <w:pStyle w:val="null3"/>
            </w:pPr>
            <w:r>
              <w:rPr>
                <w:rFonts w:ascii="仿宋_GB2312" w:hAnsi="仿宋_GB2312" w:cs="仿宋_GB2312" w:eastAsia="仿宋_GB2312"/>
              </w:rPr>
              <w:t>与磋商内容一致，无重大偏离</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自磋商响应文件递交之日起不少于90个日历天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未超过磋商最高限价</w:t>
            </w:r>
          </w:p>
        </w:tc>
        <w:tc>
          <w:tcPr>
            <w:tcW w:type="dxa" w:w="1661"/>
          </w:tcPr>
          <w:p>
            <w:pPr>
              <w:pStyle w:val="null3"/>
            </w:pPr>
            <w:r>
              <w:rPr>
                <w:rFonts w:ascii="仿宋_GB2312" w:hAnsi="仿宋_GB2312" w:cs="仿宋_GB2312" w:eastAsia="仿宋_GB2312"/>
              </w:rPr>
              <w:t>响应文件封面 已标价工程量清单 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④成品、半成品保护监管措施等。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内容至少包括①项目成员配置清单及架构②项目组配备人员的专业素质③人员结构④服务响应时间；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主要人员简历表1.docx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 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供应商提供2023年03月01日（以合同签订日期为准）至今的类似项目业绩，每提供一份得1分，最高得5分。(合同复印件加盖公章附在响应文件中，否则不作为评审依据）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1.经初审合格的磋商响应文件，其磋商报价为有效磋商报价，并对有效磋商报价进行政策性扣减，并依据扣减后的价格（评审价格）进行价格评审。 2.满足磋商文件实质性要求且最终报价最低的供应商的价格为磋商基准价，其价格分为满分30分。 3.磋商报价得分=（磋商基准价/磋商报价）×30的公式计算得分。 4.磋商报价不完整的，不进入磋商标准价的计算，本项得0分。注：本项目已专门面向中小微企业，对小微企业、监狱企业、残疾人福利性单位不再给予价格扣除，供应商需如实填写《中小企业声明函》。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详见附件：主要人员简历表1.docx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