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before="240" w:beforeLines="100" w:after="240" w:afterLines="100"/>
        <w:jc w:val="center"/>
        <w:rPr>
          <w:rFonts w:hint="eastAsia" w:ascii="宋体" w:hAnsi="宋体" w:eastAsia="宋体" w:cs="宋体"/>
          <w:bCs/>
          <w:sz w:val="36"/>
          <w:szCs w:val="36"/>
          <w:highlight w:val="none"/>
        </w:rPr>
      </w:pPr>
      <w:bookmarkStart w:id="0" w:name="_Toc18545"/>
      <w:bookmarkStart w:id="1" w:name="_Toc31673"/>
      <w:r>
        <w:rPr>
          <w:rFonts w:hint="eastAsia" w:ascii="宋体" w:hAnsi="宋体" w:eastAsia="宋体" w:cs="宋体"/>
          <w:bCs/>
          <w:sz w:val="36"/>
          <w:szCs w:val="36"/>
          <w:highlight w:val="none"/>
        </w:rPr>
        <w:t>合同条款及格式</w:t>
      </w:r>
      <w:bookmarkEnd w:id="0"/>
      <w:bookmarkEnd w:id="1"/>
    </w:p>
    <w:p>
      <w:pPr>
        <w:spacing w:line="360" w:lineRule="auto"/>
        <w:jc w:val="left"/>
        <w:rPr>
          <w:rFonts w:hint="eastAsia" w:ascii="宋体" w:hAnsi="宋体" w:eastAsia="宋体" w:cs="宋体"/>
          <w:b/>
          <w:szCs w:val="24"/>
          <w:highlight w:val="none"/>
        </w:rPr>
      </w:pPr>
    </w:p>
    <w:p>
      <w:pPr>
        <w:jc w:val="center"/>
        <w:rPr>
          <w:rFonts w:hint="eastAsia" w:ascii="宋体" w:hAnsi="宋体" w:eastAsia="宋体" w:cs="宋体"/>
          <w:b/>
          <w:bCs/>
          <w:sz w:val="44"/>
          <w:szCs w:val="44"/>
          <w:highlight w:val="none"/>
          <w:lang w:val="en-US" w:eastAsia="zh-CN"/>
        </w:rPr>
      </w:pPr>
    </w:p>
    <w:p>
      <w:pPr>
        <w:jc w:val="center"/>
        <w:rPr>
          <w:rFonts w:hint="eastAsia" w:ascii="宋体" w:hAnsi="宋体" w:eastAsia="宋体" w:cs="宋体"/>
          <w:b/>
          <w:bCs/>
          <w:sz w:val="44"/>
          <w:szCs w:val="44"/>
          <w:highlight w:val="none"/>
          <w:lang w:val="en-US" w:eastAsia="zh-CN"/>
        </w:rPr>
      </w:pPr>
    </w:p>
    <w:p>
      <w:pPr>
        <w:jc w:val="center"/>
        <w:rPr>
          <w:rFonts w:hint="eastAsia" w:ascii="宋体" w:hAnsi="宋体" w:eastAsia="宋体" w:cs="宋体"/>
          <w:b/>
          <w:bCs/>
          <w:sz w:val="44"/>
          <w:szCs w:val="44"/>
          <w:highlight w:val="none"/>
          <w:lang w:val="en-US" w:eastAsia="zh-CN"/>
        </w:rPr>
      </w:pPr>
    </w:p>
    <w:p>
      <w:pPr>
        <w:jc w:val="center"/>
        <w:rPr>
          <w:rFonts w:hint="eastAsia" w:ascii="宋体" w:hAnsi="宋体" w:eastAsia="宋体" w:cs="宋体"/>
          <w:b/>
          <w:bCs/>
          <w:sz w:val="44"/>
          <w:szCs w:val="44"/>
          <w:highlight w:val="none"/>
          <w:lang w:eastAsia="zh-CN"/>
        </w:rPr>
      </w:pPr>
      <w:r>
        <w:rPr>
          <w:rFonts w:hint="eastAsia" w:hAnsi="宋体" w:cs="宋体"/>
          <w:b/>
          <w:bCs/>
          <w:sz w:val="44"/>
          <w:szCs w:val="44"/>
          <w:highlight w:val="none"/>
          <w:lang w:eastAsia="zh-CN"/>
        </w:rPr>
        <w:t>蓝田县2023年度国土变更调查及耕地资源质量分类更新及监测工作采购项目</w:t>
      </w:r>
    </w:p>
    <w:p>
      <w:pPr>
        <w:rPr>
          <w:rFonts w:hint="eastAsia" w:ascii="宋体" w:hAnsi="宋体" w:eastAsia="宋体" w:cs="宋体"/>
          <w:highlight w:val="none"/>
        </w:rPr>
      </w:pPr>
    </w:p>
    <w:p>
      <w:pPr>
        <w:bidi w:val="0"/>
        <w:jc w:val="both"/>
        <w:rPr>
          <w:rFonts w:hint="eastAsia" w:ascii="宋体" w:hAnsi="宋体" w:eastAsia="宋体" w:cs="宋体"/>
          <w:b/>
          <w:bCs/>
          <w:sz w:val="40"/>
          <w:szCs w:val="40"/>
          <w:highlight w:val="none"/>
          <w:lang w:val="en-US" w:eastAsia="zh-CN"/>
        </w:rPr>
      </w:pPr>
    </w:p>
    <w:p>
      <w:pPr>
        <w:rPr>
          <w:rFonts w:hint="eastAsia" w:ascii="宋体" w:hAnsi="宋体" w:eastAsia="宋体" w:cs="宋体"/>
          <w:highlight w:val="none"/>
        </w:rPr>
      </w:pPr>
    </w:p>
    <w:p>
      <w:pPr>
        <w:pStyle w:val="2"/>
        <w:rPr>
          <w:rFonts w:hint="eastAsia" w:ascii="宋体" w:hAnsi="宋体" w:eastAsia="宋体" w:cs="宋体"/>
          <w:highlight w:val="none"/>
        </w:rPr>
      </w:pPr>
    </w:p>
    <w:p>
      <w:pPr>
        <w:pStyle w:val="2"/>
        <w:rPr>
          <w:rFonts w:hint="eastAsia" w:ascii="宋体" w:hAnsi="宋体" w:eastAsia="宋体" w:cs="宋体"/>
          <w:b/>
          <w:bCs/>
          <w:sz w:val="24"/>
          <w:szCs w:val="24"/>
          <w:highlight w:val="none"/>
          <w:lang w:val="en-US" w:eastAsia="zh-CN"/>
        </w:rPr>
      </w:pPr>
    </w:p>
    <w:p>
      <w:pPr>
        <w:pStyle w:val="2"/>
        <w:rPr>
          <w:rFonts w:hint="eastAsia" w:ascii="宋体" w:hAnsi="宋体" w:eastAsia="宋体" w:cs="宋体"/>
          <w:b/>
          <w:bCs/>
          <w:sz w:val="24"/>
          <w:szCs w:val="24"/>
          <w:highlight w:val="none"/>
          <w:lang w:val="en-US" w:eastAsia="zh-CN"/>
        </w:rPr>
      </w:pPr>
    </w:p>
    <w:p>
      <w:pPr>
        <w:pStyle w:val="2"/>
        <w:rPr>
          <w:rFonts w:hint="eastAsia" w:ascii="宋体" w:hAnsi="宋体" w:eastAsia="宋体" w:cs="宋体"/>
          <w:b/>
          <w:bCs/>
          <w:sz w:val="24"/>
          <w:szCs w:val="24"/>
          <w:highlight w:val="none"/>
          <w:lang w:val="en-US" w:eastAsia="zh-CN"/>
        </w:rPr>
      </w:pPr>
    </w:p>
    <w:p>
      <w:pPr>
        <w:pStyle w:val="2"/>
        <w:rPr>
          <w:rFonts w:hint="eastAsia" w:ascii="宋体" w:hAnsi="宋体" w:eastAsia="宋体" w:cs="宋体"/>
          <w:b/>
          <w:bCs/>
          <w:sz w:val="24"/>
          <w:szCs w:val="24"/>
          <w:highlight w:val="none"/>
          <w:lang w:val="en-US" w:eastAsia="zh-CN"/>
        </w:rPr>
      </w:pPr>
      <w:bookmarkStart w:id="43" w:name="_GoBack"/>
      <w:bookmarkEnd w:id="43"/>
    </w:p>
    <w:p>
      <w:pPr>
        <w:pStyle w:val="2"/>
        <w:rPr>
          <w:rFonts w:hint="eastAsia" w:ascii="宋体" w:hAnsi="宋体" w:eastAsia="宋体" w:cs="宋体"/>
          <w:b/>
          <w:bCs/>
          <w:sz w:val="24"/>
          <w:szCs w:val="24"/>
          <w:highlight w:val="none"/>
          <w:lang w:val="en-US" w:eastAsia="zh-CN"/>
        </w:rPr>
      </w:pPr>
    </w:p>
    <w:p>
      <w:pPr>
        <w:pStyle w:val="2"/>
        <w:rPr>
          <w:rFonts w:hint="eastAsia" w:ascii="宋体" w:hAnsi="宋体" w:eastAsia="宋体" w:cs="宋体"/>
          <w:b/>
          <w:bCs/>
          <w:sz w:val="24"/>
          <w:szCs w:val="24"/>
          <w:highlight w:val="none"/>
          <w:lang w:val="en-US" w:eastAsia="zh-CN"/>
        </w:rPr>
      </w:pPr>
    </w:p>
    <w:p>
      <w:pPr>
        <w:pStyle w:val="2"/>
        <w:rPr>
          <w:rFonts w:hint="eastAsia" w:ascii="宋体" w:hAnsi="宋体" w:eastAsia="宋体" w:cs="宋体"/>
          <w:highlight w:val="none"/>
        </w:rPr>
      </w:pPr>
    </w:p>
    <w:p>
      <w:pPr>
        <w:snapToGrid w:val="0"/>
        <w:spacing w:line="360" w:lineRule="auto"/>
        <w:rPr>
          <w:rFonts w:hint="eastAsia" w:ascii="宋体" w:hAnsi="宋体" w:eastAsia="宋体" w:cs="宋体"/>
          <w:sz w:val="24"/>
          <w:highlight w:val="none"/>
        </w:rPr>
      </w:pPr>
    </w:p>
    <w:p>
      <w:pPr>
        <w:snapToGrid w:val="0"/>
        <w:spacing w:line="480" w:lineRule="auto"/>
        <w:ind w:firstLine="2530" w:firstLineChars="900"/>
        <w:jc w:val="both"/>
        <w:rPr>
          <w:rFonts w:hint="eastAsia" w:ascii="宋体" w:hAnsi="宋体" w:eastAsia="宋体" w:cs="宋体"/>
          <w:b/>
          <w:bCs/>
          <w:sz w:val="28"/>
          <w:szCs w:val="22"/>
          <w:highlight w:val="none"/>
        </w:rPr>
      </w:pPr>
    </w:p>
    <w:p>
      <w:pPr>
        <w:snapToGrid w:val="0"/>
        <w:spacing w:line="480" w:lineRule="auto"/>
        <w:jc w:val="center"/>
        <w:rPr>
          <w:rFonts w:hint="eastAsia" w:ascii="宋体" w:hAnsi="宋体" w:eastAsia="宋体" w:cs="宋体"/>
          <w:b/>
          <w:bCs/>
          <w:sz w:val="32"/>
          <w:szCs w:val="24"/>
          <w:highlight w:val="none"/>
          <w:lang w:val="en-US" w:eastAsia="zh-CN"/>
        </w:rPr>
      </w:pPr>
      <w:r>
        <w:rPr>
          <w:rFonts w:hint="eastAsia" w:ascii="宋体" w:hAnsi="宋体" w:eastAsia="宋体" w:cs="宋体"/>
          <w:b/>
          <w:bCs/>
          <w:sz w:val="32"/>
          <w:szCs w:val="24"/>
          <w:highlight w:val="none"/>
        </w:rPr>
        <w:t>甲方：</w:t>
      </w:r>
      <w:r>
        <w:rPr>
          <w:rFonts w:hint="eastAsia" w:ascii="宋体" w:hAnsi="宋体" w:eastAsia="宋体" w:cs="宋体"/>
          <w:b/>
          <w:bCs/>
          <w:sz w:val="32"/>
          <w:szCs w:val="24"/>
          <w:highlight w:val="none"/>
          <w:u w:val="single"/>
        </w:rPr>
        <w:t>蓝田县自然资源和规划局</w:t>
      </w:r>
    </w:p>
    <w:p>
      <w:pPr>
        <w:snapToGrid w:val="0"/>
        <w:spacing w:line="480" w:lineRule="auto"/>
        <w:ind w:firstLine="2249" w:firstLineChars="700"/>
        <w:jc w:val="both"/>
        <w:rPr>
          <w:rFonts w:hint="eastAsia" w:ascii="宋体" w:hAnsi="宋体" w:eastAsia="宋体" w:cs="宋体"/>
          <w:b/>
          <w:bCs/>
          <w:sz w:val="32"/>
          <w:szCs w:val="24"/>
          <w:highlight w:val="none"/>
          <w:u w:val="single"/>
          <w:lang w:val="en-US" w:eastAsia="zh-CN"/>
        </w:rPr>
      </w:pPr>
      <w:r>
        <w:rPr>
          <w:rFonts w:hint="eastAsia" w:ascii="宋体" w:hAnsi="宋体" w:eastAsia="宋体" w:cs="宋体"/>
          <w:b/>
          <w:bCs/>
          <w:sz w:val="32"/>
          <w:szCs w:val="24"/>
          <w:highlight w:val="none"/>
        </w:rPr>
        <w:t>乙方：</w:t>
      </w:r>
      <w:r>
        <w:rPr>
          <w:rFonts w:hint="eastAsia" w:ascii="宋体" w:hAnsi="宋体" w:eastAsia="宋体" w:cs="宋体"/>
          <w:b/>
          <w:bCs/>
          <w:sz w:val="32"/>
          <w:szCs w:val="24"/>
          <w:highlight w:val="none"/>
          <w:u w:val="single"/>
          <w:lang w:val="en-US" w:eastAsia="zh-CN"/>
        </w:rPr>
        <w:t xml:space="preserve">                      </w:t>
      </w:r>
    </w:p>
    <w:p>
      <w:pPr>
        <w:pStyle w:val="2"/>
        <w:spacing w:line="480" w:lineRule="auto"/>
        <w:ind w:left="0" w:leftChars="0" w:firstLine="0" w:firstLineChars="0"/>
        <w:jc w:val="center"/>
        <w:rPr>
          <w:rFonts w:hint="eastAsia" w:ascii="宋体" w:hAnsi="宋体" w:eastAsia="宋体" w:cs="宋体"/>
          <w:b/>
          <w:bCs/>
          <w:i w:val="0"/>
          <w:iCs w:val="0"/>
          <w:kern w:val="2"/>
          <w:sz w:val="32"/>
          <w:szCs w:val="24"/>
          <w:highlight w:val="none"/>
          <w:u w:val="none"/>
          <w:lang w:val="en-US" w:eastAsia="zh-CN" w:bidi="ar-SA"/>
        </w:rPr>
        <w:sectPr>
          <w:pgSz w:w="11906" w:h="16838"/>
          <w:pgMar w:top="1417" w:right="1417" w:bottom="1417" w:left="1417" w:header="851" w:footer="992" w:gutter="0"/>
          <w:cols w:space="720" w:num="1"/>
          <w:docGrid w:type="lines" w:linePitch="312" w:charSpace="0"/>
        </w:sectPr>
      </w:pPr>
      <w:r>
        <w:rPr>
          <w:rFonts w:hint="eastAsia" w:ascii="宋体" w:hAnsi="宋体" w:eastAsia="宋体" w:cs="宋体"/>
          <w:b/>
          <w:bCs/>
          <w:i w:val="0"/>
          <w:iCs w:val="0"/>
          <w:kern w:val="2"/>
          <w:sz w:val="32"/>
          <w:szCs w:val="24"/>
          <w:highlight w:val="none"/>
          <w:u w:val="none"/>
          <w:lang w:val="en-US" w:eastAsia="zh-CN" w:bidi="ar-SA"/>
        </w:rPr>
        <w:t>202</w:t>
      </w:r>
      <w:r>
        <w:rPr>
          <w:rFonts w:hint="eastAsia" w:ascii="宋体" w:hAnsi="宋体" w:cs="宋体"/>
          <w:b/>
          <w:bCs/>
          <w:i w:val="0"/>
          <w:iCs w:val="0"/>
          <w:kern w:val="2"/>
          <w:sz w:val="32"/>
          <w:szCs w:val="24"/>
          <w:highlight w:val="none"/>
          <w:u w:val="none"/>
          <w:lang w:val="en-US" w:eastAsia="zh-CN" w:bidi="ar-SA"/>
        </w:rPr>
        <w:t>4</w:t>
      </w:r>
      <w:r>
        <w:rPr>
          <w:rFonts w:hint="eastAsia" w:ascii="宋体" w:hAnsi="宋体" w:eastAsia="宋体" w:cs="宋体"/>
          <w:b/>
          <w:bCs/>
          <w:i w:val="0"/>
          <w:iCs w:val="0"/>
          <w:kern w:val="2"/>
          <w:sz w:val="32"/>
          <w:szCs w:val="24"/>
          <w:highlight w:val="none"/>
          <w:u w:val="none"/>
          <w:lang w:val="en-US" w:eastAsia="zh-CN" w:bidi="ar-SA"/>
        </w:rPr>
        <w:t>年</w:t>
      </w:r>
      <w:r>
        <w:rPr>
          <w:rFonts w:hint="eastAsia" w:ascii="宋体" w:hAnsi="宋体" w:eastAsia="宋体" w:cs="宋体"/>
          <w:b/>
          <w:bCs/>
          <w:i w:val="0"/>
          <w:iCs w:val="0"/>
          <w:kern w:val="2"/>
          <w:sz w:val="32"/>
          <w:szCs w:val="24"/>
          <w:highlight w:val="none"/>
          <w:u w:val="single"/>
          <w:lang w:val="en-US" w:eastAsia="zh-CN" w:bidi="ar-SA"/>
        </w:rPr>
        <w:t xml:space="preserve">   </w:t>
      </w:r>
      <w:r>
        <w:rPr>
          <w:rFonts w:hint="eastAsia" w:ascii="宋体" w:hAnsi="宋体" w:eastAsia="宋体" w:cs="宋体"/>
          <w:b/>
          <w:bCs/>
          <w:i w:val="0"/>
          <w:iCs w:val="0"/>
          <w:kern w:val="2"/>
          <w:sz w:val="32"/>
          <w:szCs w:val="24"/>
          <w:highlight w:val="none"/>
          <w:u w:val="none"/>
          <w:lang w:val="en-US" w:eastAsia="zh-CN" w:bidi="ar-SA"/>
        </w:rPr>
        <w:t>月</w:t>
      </w:r>
      <w:r>
        <w:rPr>
          <w:rFonts w:hint="eastAsia" w:ascii="宋体" w:hAnsi="宋体" w:eastAsia="宋体" w:cs="宋体"/>
          <w:b/>
          <w:bCs/>
          <w:i w:val="0"/>
          <w:iCs w:val="0"/>
          <w:kern w:val="2"/>
          <w:sz w:val="32"/>
          <w:szCs w:val="24"/>
          <w:highlight w:val="none"/>
          <w:u w:val="single"/>
          <w:lang w:val="en-US" w:eastAsia="zh-CN" w:bidi="ar-SA"/>
        </w:rPr>
        <w:t xml:space="preserve">   </w:t>
      </w:r>
      <w:r>
        <w:rPr>
          <w:rFonts w:hint="eastAsia" w:ascii="宋体" w:hAnsi="宋体" w:eastAsia="宋体" w:cs="宋体"/>
          <w:b/>
          <w:bCs/>
          <w:i w:val="0"/>
          <w:iCs w:val="0"/>
          <w:kern w:val="2"/>
          <w:sz w:val="32"/>
          <w:szCs w:val="24"/>
          <w:highlight w:val="none"/>
          <w:u w:val="none"/>
          <w:lang w:val="en-US" w:eastAsia="zh-CN" w:bidi="ar-SA"/>
        </w:rPr>
        <w:t>日</w:t>
      </w:r>
    </w:p>
    <w:p>
      <w:pPr>
        <w:spacing w:line="360" w:lineRule="auto"/>
        <w:jc w:val="left"/>
        <w:rPr>
          <w:rFonts w:hint="eastAsia" w:ascii="宋体" w:hAnsi="宋体" w:eastAsia="宋体" w:cs="宋体"/>
          <w:b/>
          <w:szCs w:val="24"/>
          <w:highlight w:val="none"/>
        </w:rPr>
      </w:pPr>
    </w:p>
    <w:p>
      <w:pPr>
        <w:spacing w:line="360" w:lineRule="auto"/>
        <w:jc w:val="left"/>
        <w:rPr>
          <w:rFonts w:hint="eastAsia" w:ascii="宋体" w:hAnsi="宋体" w:eastAsia="宋体" w:cs="宋体"/>
          <w:b/>
          <w:szCs w:val="24"/>
          <w:highlight w:val="none"/>
        </w:rPr>
      </w:pPr>
      <w:r>
        <w:rPr>
          <w:rFonts w:hint="eastAsia" w:ascii="宋体" w:hAnsi="宋体" w:eastAsia="宋体" w:cs="宋体"/>
          <w:b/>
          <w:szCs w:val="24"/>
          <w:highlight w:val="none"/>
        </w:rPr>
        <w:t>委托方（以下简称甲方）：</w:t>
      </w:r>
      <w:r>
        <w:rPr>
          <w:rFonts w:hint="eastAsia" w:ascii="宋体" w:hAnsi="宋体" w:eastAsia="宋体" w:cs="宋体"/>
          <w:b/>
          <w:szCs w:val="24"/>
          <w:highlight w:val="none"/>
          <w:u w:val="single"/>
        </w:rPr>
        <w:t xml:space="preserve">蓝田县自然资源和规划局 </w:t>
      </w:r>
    </w:p>
    <w:p>
      <w:pPr>
        <w:spacing w:line="360" w:lineRule="auto"/>
        <w:jc w:val="left"/>
        <w:rPr>
          <w:rFonts w:hint="eastAsia" w:ascii="宋体" w:hAnsi="宋体" w:eastAsia="宋体" w:cs="宋体"/>
          <w:b/>
          <w:szCs w:val="24"/>
          <w:highlight w:val="none"/>
        </w:rPr>
      </w:pPr>
      <w:r>
        <w:rPr>
          <w:rFonts w:hint="eastAsia" w:ascii="宋体" w:hAnsi="宋体" w:eastAsia="宋体" w:cs="宋体"/>
          <w:b/>
          <w:szCs w:val="24"/>
          <w:highlight w:val="none"/>
        </w:rPr>
        <w:t>承接方（以下简称乙方）：</w:t>
      </w:r>
      <w:r>
        <w:rPr>
          <w:rFonts w:hint="eastAsia" w:ascii="宋体" w:hAnsi="宋体" w:eastAsia="宋体" w:cs="宋体"/>
          <w:b/>
          <w:szCs w:val="24"/>
          <w:highlight w:val="none"/>
          <w:u w:val="single"/>
        </w:rPr>
        <w:t xml:space="preserve">                       </w:t>
      </w:r>
      <w:r>
        <w:rPr>
          <w:rFonts w:hint="eastAsia" w:ascii="宋体" w:hAnsi="宋体" w:eastAsia="宋体" w:cs="宋体"/>
          <w:b/>
          <w:szCs w:val="24"/>
          <w:highlight w:val="none"/>
        </w:rPr>
        <w:t xml:space="preserve"> </w:t>
      </w:r>
    </w:p>
    <w:p>
      <w:pPr>
        <w:spacing w:line="360" w:lineRule="auto"/>
        <w:rPr>
          <w:rFonts w:hint="eastAsia" w:ascii="宋体" w:hAnsi="宋体" w:eastAsia="宋体" w:cs="宋体"/>
          <w:b/>
          <w:szCs w:val="24"/>
          <w:highlight w:val="none"/>
        </w:rPr>
      </w:pPr>
      <w:r>
        <w:rPr>
          <w:rFonts w:hint="eastAsia" w:ascii="宋体" w:hAnsi="宋体" w:eastAsia="宋体" w:cs="宋体"/>
          <w:szCs w:val="24"/>
          <w:highlight w:val="none"/>
        </w:rPr>
        <w:t xml:space="preserve">    根据《中华人民共和国民法典》《中华人民共和国政府采购法》等先关法律法规的要求，经双方友好协商，订立本合同。</w:t>
      </w:r>
    </w:p>
    <w:p>
      <w:pPr>
        <w:pStyle w:val="4"/>
        <w:spacing w:before="0" w:after="0"/>
        <w:ind w:left="0"/>
        <w:rPr>
          <w:rFonts w:hint="eastAsia" w:ascii="宋体" w:hAnsi="宋体" w:eastAsia="宋体" w:cs="宋体"/>
          <w:sz w:val="24"/>
          <w:szCs w:val="24"/>
          <w:highlight w:val="none"/>
          <w:lang w:val="en-US" w:eastAsia="zh-CN"/>
        </w:rPr>
      </w:pPr>
      <w:bookmarkStart w:id="2" w:name="_Toc6919"/>
      <w:r>
        <w:rPr>
          <w:rFonts w:hint="eastAsia" w:ascii="宋体" w:hAnsi="宋体" w:eastAsia="宋体" w:cs="宋体"/>
          <w:sz w:val="24"/>
          <w:szCs w:val="24"/>
          <w:highlight w:val="none"/>
        </w:rPr>
        <w:t>一、</w:t>
      </w:r>
      <w:bookmarkEnd w:id="2"/>
      <w:r>
        <w:rPr>
          <w:rFonts w:hint="eastAsia" w:ascii="宋体" w:hAnsi="宋体" w:eastAsia="宋体" w:cs="宋体"/>
          <w:sz w:val="24"/>
          <w:szCs w:val="24"/>
          <w:highlight w:val="none"/>
          <w:lang w:val="en-US" w:eastAsia="zh-CN"/>
        </w:rPr>
        <w:t>项目概况</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根据《自然资源部办公厅关于开展2023年度全国国土变更调查工作的通知》(自然资办发〔2023〕38号)、《陕西省自然资源厅关于做好2023年度国土变更调查工作的通知》（陕自然资发〔2023〕58号）、《西安市自然资源和规划局关于开展西安市2023年度国土变更调查工作的通知》、《西安市自然资源和规划局关于印发&lt;西安市2023年自然资源监测工作实施方案&gt;的通知》(市资源发[2023]95号)等相关文件要求，我县需开展2023年日常变更及年度变更调查、耕地资源质量分类、2023年度永久基本农田内疑似变化图斑排查整改工作等相关工作。</w:t>
      </w:r>
    </w:p>
    <w:p>
      <w:pPr>
        <w:pStyle w:val="4"/>
        <w:spacing w:before="0" w:after="0"/>
        <w:ind w:left="0" w:firstLine="241" w:firstLineChars="100"/>
        <w:rPr>
          <w:rFonts w:hint="eastAsia" w:ascii="宋体" w:hAnsi="宋体" w:eastAsia="宋体" w:cs="宋体"/>
          <w:sz w:val="24"/>
          <w:szCs w:val="24"/>
          <w:highlight w:val="none"/>
        </w:rPr>
      </w:pPr>
      <w:bookmarkStart w:id="3" w:name="_Toc32062"/>
      <w:r>
        <w:rPr>
          <w:rFonts w:hint="eastAsia" w:ascii="宋体" w:hAnsi="宋体" w:eastAsia="宋体" w:cs="宋体"/>
          <w:sz w:val="24"/>
          <w:szCs w:val="24"/>
          <w:highlight w:val="none"/>
        </w:rPr>
        <w:t>二、服务期限</w:t>
      </w:r>
      <w:bookmarkEnd w:id="3"/>
    </w:p>
    <w:p>
      <w:pPr>
        <w:shd w:val="clear" w:color="auto" w:fill="FFFFFF"/>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服务期限为：自合同签订之日起至项目通过国家核查并在将成果在通过采购人备案完成时止。</w:t>
      </w:r>
    </w:p>
    <w:p>
      <w:pPr>
        <w:pStyle w:val="4"/>
        <w:spacing w:before="0" w:after="0"/>
        <w:ind w:left="0"/>
        <w:rPr>
          <w:rFonts w:hint="eastAsia" w:ascii="宋体" w:hAnsi="宋体" w:eastAsia="宋体" w:cs="宋体"/>
          <w:sz w:val="24"/>
          <w:szCs w:val="24"/>
          <w:highlight w:val="none"/>
        </w:rPr>
      </w:pPr>
      <w:bookmarkStart w:id="4" w:name="_Toc6373"/>
      <w:r>
        <w:rPr>
          <w:rFonts w:hint="eastAsia" w:ascii="宋体" w:hAnsi="宋体" w:eastAsia="宋体" w:cs="宋体"/>
          <w:sz w:val="24"/>
          <w:szCs w:val="24"/>
          <w:highlight w:val="none"/>
        </w:rPr>
        <w:t>三、合同文件及解释</w:t>
      </w:r>
      <w:bookmarkEnd w:id="4"/>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合同协议书</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成交通知书</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竞争性磋商文件及澄清补遗文件</w:t>
      </w:r>
    </w:p>
    <w:p>
      <w:pPr>
        <w:shd w:val="clear" w:color="auto" w:fill="FFFFFF"/>
        <w:snapToGrid w:val="0"/>
        <w:spacing w:line="360" w:lineRule="auto"/>
        <w:ind w:firstLine="480" w:firstLineChars="200"/>
        <w:rPr>
          <w:rFonts w:hint="eastAsia" w:ascii="宋体" w:hAnsi="宋体" w:eastAsia="宋体" w:cs="宋体"/>
          <w:color w:val="auto"/>
          <w:kern w:val="28"/>
          <w:highlight w:val="none"/>
        </w:rPr>
      </w:pPr>
      <w:r>
        <w:rPr>
          <w:rFonts w:hint="eastAsia" w:ascii="宋体" w:hAnsi="宋体" w:eastAsia="宋体" w:cs="宋体"/>
          <w:color w:val="auto"/>
          <w:kern w:val="28"/>
          <w:highlight w:val="none"/>
        </w:rPr>
        <w:t>成交单位磋商响应文件</w:t>
      </w:r>
    </w:p>
    <w:p>
      <w:pPr>
        <w:shd w:val="clear" w:color="auto" w:fill="FFFFFF"/>
        <w:snapToGrid w:val="0"/>
        <w:spacing w:line="360" w:lineRule="auto"/>
        <w:ind w:firstLine="480" w:firstLineChars="200"/>
        <w:rPr>
          <w:rFonts w:hint="eastAsia" w:ascii="宋体" w:hAnsi="宋体" w:eastAsia="宋体" w:cs="宋体"/>
          <w:color w:val="auto"/>
          <w:kern w:val="28"/>
          <w:highlight w:val="none"/>
        </w:rPr>
      </w:pPr>
      <w:r>
        <w:rPr>
          <w:rFonts w:hint="eastAsia" w:ascii="宋体" w:hAnsi="宋体" w:eastAsia="宋体" w:cs="宋体"/>
          <w:color w:val="auto"/>
          <w:kern w:val="28"/>
          <w:highlight w:val="none"/>
        </w:rPr>
        <w:t>技术标准、规范</w:t>
      </w:r>
    </w:p>
    <w:p>
      <w:pPr>
        <w:shd w:val="clear" w:color="auto" w:fill="FFFFFF"/>
        <w:snapToGrid w:val="0"/>
        <w:spacing w:line="360" w:lineRule="auto"/>
        <w:ind w:firstLine="480" w:firstLineChars="200"/>
        <w:rPr>
          <w:rFonts w:hint="eastAsia" w:ascii="宋体" w:hAnsi="宋体" w:eastAsia="宋体" w:cs="宋体"/>
          <w:color w:val="auto"/>
          <w:kern w:val="28"/>
          <w:highlight w:val="none"/>
        </w:rPr>
      </w:pPr>
      <w:r>
        <w:rPr>
          <w:rFonts w:hint="eastAsia" w:ascii="宋体" w:hAnsi="宋体" w:eastAsia="宋体" w:cs="宋体"/>
          <w:color w:val="auto"/>
          <w:kern w:val="28"/>
          <w:highlight w:val="none"/>
        </w:rPr>
        <w:t>其他合同文件</w:t>
      </w:r>
    </w:p>
    <w:p>
      <w:pPr>
        <w:pStyle w:val="4"/>
        <w:spacing w:before="0" w:after="0"/>
        <w:ind w:left="0"/>
        <w:rPr>
          <w:rFonts w:hint="eastAsia" w:ascii="宋体" w:hAnsi="宋体" w:eastAsia="宋体" w:cs="宋体"/>
          <w:color w:val="auto"/>
          <w:sz w:val="24"/>
          <w:szCs w:val="24"/>
          <w:highlight w:val="none"/>
        </w:rPr>
      </w:pPr>
      <w:bookmarkStart w:id="5" w:name="_Toc14072"/>
      <w:r>
        <w:rPr>
          <w:rFonts w:hint="eastAsia" w:ascii="宋体" w:hAnsi="宋体" w:eastAsia="宋体" w:cs="宋体"/>
          <w:color w:val="auto"/>
          <w:sz w:val="24"/>
          <w:szCs w:val="24"/>
          <w:highlight w:val="none"/>
        </w:rPr>
        <w:t>四、合同价款、结算与支付</w:t>
      </w:r>
      <w:bookmarkEnd w:id="5"/>
    </w:p>
    <w:p>
      <w:pPr>
        <w:shd w:val="clear" w:color="auto" w:fill="FFFFFF"/>
        <w:snapToGrid w:val="0"/>
        <w:spacing w:line="360" w:lineRule="auto"/>
        <w:rPr>
          <w:rFonts w:hint="eastAsia" w:ascii="宋体" w:hAnsi="宋体" w:eastAsia="宋体" w:cs="宋体"/>
          <w:color w:val="auto"/>
          <w:kern w:val="28"/>
          <w:highlight w:val="none"/>
        </w:rPr>
      </w:pPr>
      <w:r>
        <w:rPr>
          <w:rFonts w:hint="eastAsia" w:ascii="宋体" w:hAnsi="宋体" w:eastAsia="宋体" w:cs="宋体"/>
          <w:color w:val="auto"/>
          <w:kern w:val="28"/>
          <w:highlight w:val="none"/>
        </w:rPr>
        <w:t>1、本合同总价款</w:t>
      </w:r>
    </w:p>
    <w:p>
      <w:pPr>
        <w:spacing w:line="360" w:lineRule="auto"/>
        <w:ind w:left="1" w:firstLine="480" w:firstLineChars="200"/>
        <w:rPr>
          <w:rFonts w:hint="eastAsia" w:ascii="宋体" w:hAnsi="宋体" w:eastAsia="宋体" w:cs="宋体"/>
          <w:color w:val="auto"/>
          <w:highlight w:val="none"/>
        </w:rPr>
      </w:pPr>
      <w:r>
        <w:rPr>
          <w:rFonts w:hint="eastAsia" w:ascii="宋体" w:hAnsi="宋体" w:eastAsia="宋体" w:cs="宋体"/>
          <w:color w:val="auto"/>
          <w:kern w:val="28"/>
          <w:highlight w:val="none"/>
        </w:rPr>
        <w:t>本合同总价款为</w:t>
      </w:r>
      <w:r>
        <w:rPr>
          <w:rFonts w:hint="eastAsia" w:ascii="宋体" w:hAnsi="宋体" w:eastAsia="宋体" w:cs="宋体"/>
          <w:b/>
          <w:color w:val="auto"/>
          <w:kern w:val="28"/>
          <w:highlight w:val="none"/>
          <w:u w:val="single"/>
        </w:rPr>
        <w:t>RMB            （人民币大写：         )</w:t>
      </w:r>
      <w:r>
        <w:rPr>
          <w:rFonts w:hint="eastAsia" w:ascii="宋体" w:hAnsi="宋体" w:eastAsia="宋体" w:cs="宋体"/>
          <w:color w:val="auto"/>
          <w:kern w:val="28"/>
          <w:highlight w:val="none"/>
        </w:rPr>
        <w:t>该合同总价包括承接甲方项目所承担的全过程的一切费用</w:t>
      </w:r>
      <w:r>
        <w:rPr>
          <w:rFonts w:hint="eastAsia" w:ascii="宋体" w:hAnsi="宋体" w:eastAsia="宋体" w:cs="宋体"/>
          <w:color w:val="auto"/>
          <w:highlight w:val="none"/>
        </w:rPr>
        <w:t>。</w:t>
      </w:r>
    </w:p>
    <w:p>
      <w:pPr>
        <w:numPr>
          <w:ilvl w:val="0"/>
          <w:numId w:val="1"/>
        </w:numPr>
        <w:shd w:val="clear" w:color="auto" w:fill="FFFFFF"/>
        <w:snapToGrid w:val="0"/>
        <w:spacing w:line="360" w:lineRule="auto"/>
        <w:rPr>
          <w:rFonts w:hint="eastAsia" w:ascii="宋体" w:hAnsi="宋体" w:eastAsia="宋体" w:cs="宋体"/>
          <w:color w:val="auto"/>
          <w:kern w:val="28"/>
          <w:highlight w:val="none"/>
        </w:rPr>
      </w:pPr>
      <w:r>
        <w:rPr>
          <w:rFonts w:hint="eastAsia" w:ascii="宋体" w:hAnsi="宋体" w:eastAsia="宋体" w:cs="宋体"/>
          <w:color w:val="auto"/>
          <w:kern w:val="28"/>
          <w:highlight w:val="none"/>
        </w:rPr>
        <w:t>付款方式</w:t>
      </w:r>
    </w:p>
    <w:p>
      <w:pPr>
        <w:pStyle w:val="6"/>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pacing w:val="-11"/>
          <w:sz w:val="24"/>
          <w:szCs w:val="24"/>
          <w:highlight w:val="none"/>
        </w:rPr>
        <w:t>。</w:t>
      </w:r>
    </w:p>
    <w:p>
      <w:pPr>
        <w:pStyle w:val="4"/>
        <w:spacing w:before="0" w:after="0"/>
        <w:ind w:left="0"/>
        <w:rPr>
          <w:rFonts w:hint="eastAsia" w:ascii="宋体" w:hAnsi="宋体" w:eastAsia="宋体" w:cs="宋体"/>
          <w:color w:val="auto"/>
          <w:sz w:val="24"/>
          <w:szCs w:val="24"/>
          <w:highlight w:val="none"/>
        </w:rPr>
      </w:pPr>
      <w:bookmarkStart w:id="6" w:name="_Toc8663"/>
      <w:r>
        <w:rPr>
          <w:rFonts w:hint="eastAsia" w:ascii="宋体" w:hAnsi="宋体" w:eastAsia="宋体" w:cs="宋体"/>
          <w:color w:val="auto"/>
          <w:sz w:val="24"/>
          <w:szCs w:val="24"/>
          <w:highlight w:val="none"/>
        </w:rPr>
        <w:t>五、甲方职责</w:t>
      </w:r>
      <w:bookmarkEnd w:id="6"/>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1、甲方按本合同规定的内容，在规定的时间内向乙方提交基础资料及文件，并对其完整性、正确性、及时性负责。</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2、甲方派专人协助乙方开展外业调查、调研、座谈会等工作。</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3、需负责与蓝田县相关部门的对接工作；</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4、乙方的工作费用按合同约定及时支付。</w:t>
      </w:r>
    </w:p>
    <w:p>
      <w:pPr>
        <w:pStyle w:val="4"/>
        <w:ind w:left="0"/>
        <w:rPr>
          <w:rFonts w:hint="eastAsia" w:ascii="宋体" w:hAnsi="宋体" w:eastAsia="宋体" w:cs="宋体"/>
          <w:color w:val="auto"/>
          <w:sz w:val="24"/>
          <w:szCs w:val="24"/>
          <w:highlight w:val="none"/>
        </w:rPr>
      </w:pPr>
      <w:bookmarkStart w:id="7" w:name="_Toc2405"/>
      <w:r>
        <w:rPr>
          <w:rFonts w:hint="eastAsia" w:ascii="宋体" w:hAnsi="宋体" w:eastAsia="宋体" w:cs="宋体"/>
          <w:color w:val="auto"/>
          <w:sz w:val="24"/>
          <w:szCs w:val="24"/>
          <w:highlight w:val="none"/>
        </w:rPr>
        <w:t>六、乙方职责</w:t>
      </w:r>
      <w:bookmarkEnd w:id="7"/>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1、乙方应按国家相应技术规范、标准、规程及合同约定的各项要求，进行相关工作，按合同规定的进度要求提交质量合格的成果文件，并对其负责。</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2、乙方按本合同规定的内容、进度及份数向甲方提交成果文件，并根据审查结论对不超出原定范围的内容做必要调整补充。</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3、乙方应做好质量与技术管理工作，加强全过程的质量控制，保证项目内容的合理性。</w:t>
      </w:r>
    </w:p>
    <w:p>
      <w:pPr>
        <w:spacing w:line="360" w:lineRule="auto"/>
        <w:ind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4、对甲方的各种技术资料做好保密工作，未经甲方许可不得向任何单位和个人泄露。</w:t>
      </w:r>
    </w:p>
    <w:p>
      <w:pPr>
        <w:pStyle w:val="4"/>
        <w:spacing w:line="360" w:lineRule="auto"/>
        <w:ind w:left="0"/>
        <w:rPr>
          <w:rFonts w:hint="eastAsia" w:ascii="宋体" w:hAnsi="宋体" w:eastAsia="宋体" w:cs="宋体"/>
          <w:color w:val="auto"/>
          <w:sz w:val="24"/>
          <w:szCs w:val="24"/>
          <w:highlight w:val="none"/>
        </w:rPr>
      </w:pPr>
      <w:bookmarkStart w:id="8" w:name="_Toc13290"/>
      <w:r>
        <w:rPr>
          <w:rFonts w:hint="eastAsia" w:ascii="宋体" w:hAnsi="宋体" w:eastAsia="宋体" w:cs="宋体"/>
          <w:color w:val="auto"/>
          <w:sz w:val="24"/>
          <w:szCs w:val="24"/>
          <w:highlight w:val="none"/>
        </w:rPr>
        <w:t>七、提交成果及验收</w:t>
      </w:r>
      <w:bookmarkEnd w:id="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bookmarkStart w:id="9" w:name="_Toc17338"/>
      <w:r>
        <w:rPr>
          <w:rFonts w:hint="eastAsia" w:ascii="宋体" w:hAnsi="宋体" w:eastAsia="宋体" w:cs="宋体"/>
          <w:lang w:val="en-US" w:eastAsia="zh-CN"/>
        </w:rPr>
        <w:t>蓝田县2023年度变更调查主要成果按照《实施方案》要求形成整套国土调查成果资料，应包括影像、图形、权属、文字报告等。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1、2023年度变更调查成果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bookmarkStart w:id="10" w:name="_Toc89939997"/>
      <w:bookmarkStart w:id="11" w:name="_Toc60312497"/>
      <w:bookmarkStart w:id="12" w:name="_Toc32627"/>
      <w:bookmarkStart w:id="13" w:name="_Toc59093128"/>
      <w:bookmarkStart w:id="14" w:name="_Toc59013197"/>
      <w:bookmarkStart w:id="15" w:name="_Toc58448958"/>
      <w:bookmarkStart w:id="16" w:name="_Toc58455991"/>
      <w:r>
        <w:rPr>
          <w:rFonts w:hint="eastAsia" w:ascii="宋体" w:hAnsi="宋体" w:eastAsia="宋体" w:cs="宋体"/>
          <w:lang w:val="en-US" w:eastAsia="zh-CN"/>
        </w:rPr>
        <w:t>（1）遥感监测成果</w:t>
      </w:r>
      <w:bookmarkEnd w:id="10"/>
      <w:bookmarkEnd w:id="11"/>
      <w:bookmarkEnd w:id="12"/>
      <w:bookmarkEnd w:id="13"/>
      <w:bookmarkEnd w:id="14"/>
      <w:bookmarkEnd w:id="15"/>
      <w:bookmarkEnd w:id="16"/>
      <w:r>
        <w:rPr>
          <w:rFonts w:hint="eastAsia" w:ascii="宋体" w:hAnsi="宋体" w:eastAsia="宋体" w:cs="宋体"/>
          <w:lang w:val="en-US" w:eastAsia="zh-CN"/>
        </w:rPr>
        <w:t>。包括遥感正射影像图、遥感监测图斑。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bookmarkStart w:id="17" w:name="_Toc89939999"/>
      <w:bookmarkStart w:id="18" w:name="_Toc59093130"/>
      <w:bookmarkStart w:id="19" w:name="_Toc58455993"/>
      <w:bookmarkStart w:id="20" w:name="_Toc31462"/>
      <w:bookmarkStart w:id="21" w:name="_Toc58448960"/>
      <w:bookmarkStart w:id="22" w:name="_Toc59013199"/>
      <w:bookmarkStart w:id="23" w:name="_Toc60312499"/>
      <w:r>
        <w:rPr>
          <w:rFonts w:hint="eastAsia" w:ascii="宋体" w:hAnsi="宋体" w:eastAsia="宋体" w:cs="宋体"/>
          <w:lang w:val="en-US" w:eastAsia="zh-CN"/>
        </w:rPr>
        <w:t>（2）举证信息。在“陕西省自然资源调查监测云平台”上完成举证工作。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（3）数据库成果</w:t>
      </w:r>
      <w:bookmarkEnd w:id="17"/>
      <w:bookmarkEnd w:id="18"/>
      <w:bookmarkEnd w:id="19"/>
      <w:bookmarkEnd w:id="20"/>
      <w:bookmarkEnd w:id="21"/>
      <w:bookmarkEnd w:id="22"/>
      <w:bookmarkEnd w:id="23"/>
      <w:r>
        <w:rPr>
          <w:rFonts w:hint="eastAsia" w:ascii="宋体" w:hAnsi="宋体" w:eastAsia="宋体" w:cs="宋体"/>
          <w:lang w:val="en-US" w:eastAsia="zh-CN"/>
        </w:rPr>
        <w:t>。包括更新后的国土调查数据库；国土调查数据库更新数据包（含增量信息与统计报表，由数据库质检软件打包生成）。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bookmarkStart w:id="24" w:name="_Toc89940000"/>
      <w:bookmarkStart w:id="25" w:name="_Toc6048"/>
      <w:bookmarkStart w:id="26" w:name="_Toc60312500"/>
      <w:bookmarkStart w:id="27" w:name="_Toc58448961"/>
      <w:bookmarkStart w:id="28" w:name="_Toc58455994"/>
      <w:bookmarkStart w:id="29" w:name="_Toc59013200"/>
      <w:bookmarkStart w:id="30" w:name="_Toc59093131"/>
      <w:r>
        <w:rPr>
          <w:rFonts w:hint="eastAsia" w:ascii="宋体" w:hAnsi="宋体" w:eastAsia="宋体" w:cs="宋体"/>
          <w:lang w:val="en-US" w:eastAsia="zh-CN"/>
        </w:rPr>
        <w:t>（4）图斑信息核实各类报表</w:t>
      </w:r>
      <w:bookmarkEnd w:id="24"/>
      <w:bookmarkEnd w:id="25"/>
      <w:bookmarkEnd w:id="26"/>
      <w:bookmarkEnd w:id="27"/>
      <w:bookmarkEnd w:id="28"/>
      <w:bookmarkEnd w:id="29"/>
      <w:bookmarkEnd w:id="30"/>
      <w:r>
        <w:rPr>
          <w:rFonts w:hint="eastAsia" w:ascii="宋体" w:hAnsi="宋体" w:eastAsia="宋体" w:cs="宋体"/>
          <w:lang w:val="en-US" w:eastAsia="zh-CN"/>
        </w:rPr>
        <w:t>（MDB格式）。包括遥感监测图斑信息核实记录表；跟踪图斑列表；举证信息表。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bookmarkStart w:id="31" w:name="_Toc59013202"/>
      <w:bookmarkStart w:id="32" w:name="_Toc59093133"/>
      <w:bookmarkStart w:id="33" w:name="_Toc60312502"/>
      <w:bookmarkStart w:id="34" w:name="_Toc58455996"/>
      <w:bookmarkStart w:id="35" w:name="_Toc58448963"/>
      <w:bookmarkStart w:id="36" w:name="_Toc20465"/>
      <w:bookmarkStart w:id="37" w:name="_Toc89940001"/>
      <w:r>
        <w:rPr>
          <w:rFonts w:hint="eastAsia" w:ascii="宋体" w:hAnsi="宋体" w:eastAsia="宋体" w:cs="宋体"/>
          <w:lang w:val="en-US" w:eastAsia="zh-CN"/>
        </w:rPr>
        <w:t>（5）文字成果</w:t>
      </w:r>
      <w:bookmarkEnd w:id="31"/>
      <w:bookmarkEnd w:id="32"/>
      <w:bookmarkEnd w:id="33"/>
      <w:bookmarkEnd w:id="34"/>
      <w:bookmarkEnd w:id="35"/>
      <w:bookmarkEnd w:id="36"/>
      <w:bookmarkEnd w:id="37"/>
      <w:r>
        <w:rPr>
          <w:rFonts w:hint="eastAsia" w:ascii="宋体" w:hAnsi="宋体" w:eastAsia="宋体" w:cs="宋体"/>
          <w:lang w:val="en-US" w:eastAsia="zh-CN"/>
        </w:rPr>
        <w:t>。主要包括土地利用变化情况分析报告及各项专题报告。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2、日常变更调查成果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（1）矢量数据。包括日常变更地类图斑层以及相关单独图层（MDB格式，DLTB图层属性字段参照年度变更调查地类图斑更新过程层并增加相关项目的项目名称和编号等）。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（2）举证信息。在“陕西省自然资源调查监测云平台”上完成举证工作。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3、耕地资源质量分类成果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（1）矢量数据。提供蓝田县2023年度耕地资源质量分类年度更新包。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（2）文字成果。包括耕地资源质量分类更新的分析报告和资料汇编。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4. 2023年度永久基本农田内疑似变化图斑排查整改工作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在“陕西省自然资源调查监测云平台”上，永久基本农田疑似非耕地核实模块中，完成图斑的举证工作。</w:t>
      </w:r>
    </w:p>
    <w:p>
      <w:pPr>
        <w:pStyle w:val="4"/>
        <w:spacing w:line="360" w:lineRule="auto"/>
        <w:ind w:left="0"/>
        <w:rPr>
          <w:rFonts w:hint="eastAsia" w:ascii="宋体" w:hAnsi="宋体" w:eastAsia="宋体" w:cs="宋体"/>
          <w:sz w:val="24"/>
          <w:szCs w:val="24"/>
          <w:highlight w:val="none"/>
        </w:rPr>
      </w:pPr>
      <w:r>
        <w:rPr>
          <w:rFonts w:hint="eastAsia" w:ascii="宋体" w:hAnsi="宋体" w:eastAsia="宋体" w:cs="宋体"/>
          <w:sz w:val="24"/>
          <w:szCs w:val="24"/>
          <w:highlight w:val="none"/>
        </w:rPr>
        <w:t>八、双方权利及义务</w:t>
      </w:r>
      <w:bookmarkEnd w:id="9"/>
    </w:p>
    <w:p>
      <w:pPr>
        <w:spacing w:line="360" w:lineRule="auto"/>
        <w:ind w:firstLine="482" w:firstLineChars="200"/>
        <w:jc w:val="left"/>
        <w:rPr>
          <w:rFonts w:hint="eastAsia" w:ascii="宋体" w:hAnsi="宋体" w:eastAsia="宋体" w:cs="宋体"/>
          <w:b/>
          <w:szCs w:val="24"/>
          <w:highlight w:val="none"/>
        </w:rPr>
      </w:pPr>
      <w:r>
        <w:rPr>
          <w:rFonts w:hint="eastAsia" w:ascii="宋体" w:hAnsi="宋体" w:eastAsia="宋体" w:cs="宋体"/>
          <w:b/>
          <w:szCs w:val="24"/>
          <w:highlight w:val="none"/>
        </w:rPr>
        <w:t>甲方：</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1、甲方有权对合同规定范围内乙方的服务行为进行监督和检查，拥有监管权。甲方认为不合理的部分有权下达整改通知书，并要求乙方限期整改。</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2、负责检查监督乙方管理工作的实施及制度的执行情况。</w:t>
      </w:r>
    </w:p>
    <w:p>
      <w:pPr>
        <w:spacing w:line="360" w:lineRule="auto"/>
        <w:ind w:firstLine="482" w:firstLineChars="200"/>
        <w:jc w:val="left"/>
        <w:rPr>
          <w:rFonts w:hint="eastAsia" w:ascii="宋体" w:hAnsi="宋体" w:eastAsia="宋体" w:cs="宋体"/>
          <w:b/>
          <w:szCs w:val="24"/>
          <w:highlight w:val="none"/>
        </w:rPr>
      </w:pPr>
      <w:r>
        <w:rPr>
          <w:rFonts w:hint="eastAsia" w:ascii="宋体" w:hAnsi="宋体" w:eastAsia="宋体" w:cs="宋体"/>
          <w:b/>
          <w:szCs w:val="24"/>
          <w:highlight w:val="none"/>
        </w:rPr>
        <w:t>乙方：</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1、对本合同规定的委托服务范围内的项目享有管理权及服务义务。</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2、根据本合同的规定向甲方收取相关服务费用，并有权在本项目管理范围内管理及合理使用。</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3、按照合同规定的期限完成工作任务向甲方提交成果资料。</w:t>
      </w:r>
    </w:p>
    <w:p>
      <w:pPr>
        <w:pStyle w:val="4"/>
        <w:spacing w:line="360" w:lineRule="auto"/>
        <w:ind w:left="0"/>
        <w:rPr>
          <w:rFonts w:hint="eastAsia" w:ascii="宋体" w:hAnsi="宋体" w:eastAsia="宋体" w:cs="宋体"/>
          <w:sz w:val="24"/>
          <w:szCs w:val="24"/>
          <w:highlight w:val="none"/>
        </w:rPr>
      </w:pPr>
      <w:bookmarkStart w:id="38" w:name="_Toc3419"/>
      <w:r>
        <w:rPr>
          <w:rFonts w:hint="eastAsia" w:ascii="宋体" w:hAnsi="宋体" w:eastAsia="宋体" w:cs="宋体"/>
          <w:sz w:val="24"/>
          <w:szCs w:val="24"/>
          <w:highlight w:val="none"/>
        </w:rPr>
        <w:t>九、违约责任</w:t>
      </w:r>
      <w:bookmarkEnd w:id="38"/>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若乙方非因不可抗力等事由导致延期的，乙方逾期30日以上的，每日承担总合同金额千分之二的违约金，逾期60日以上的，甲方有权解除合同，并要求乙方支付总合同金额20%的违约金。若因此给甲方造成损失的，还应赔偿甲方的全部损失。</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2.乙方未按合同要求提供服务、服务质量不能满足合同要求或在审核期内未通过甲方验收的，甲方有权解除合同，并要求乙方支付总合同金额20%的违约金。若因此给甲方造成损失的，还应赔偿甲方的全部损失。</w:t>
      </w:r>
    </w:p>
    <w:p>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3.甲方应按照本合同的约定按时足额支付合同款项，甲方逾期30日以上的，每日承担总合同金额千分之二的违约金，逾期60日以上的，甲方应向乙方支付总合同金额20%的违约金，若因此给乙方造成损失的，还应赔偿乙方的全部损失。</w:t>
      </w:r>
    </w:p>
    <w:p>
      <w:pPr>
        <w:pStyle w:val="4"/>
        <w:ind w:left="0"/>
        <w:rPr>
          <w:rFonts w:hint="eastAsia" w:ascii="宋体" w:hAnsi="宋体" w:eastAsia="宋体" w:cs="宋体"/>
          <w:sz w:val="24"/>
          <w:szCs w:val="24"/>
          <w:highlight w:val="none"/>
        </w:rPr>
      </w:pPr>
      <w:bookmarkStart w:id="39" w:name="_Toc4027"/>
      <w:r>
        <w:rPr>
          <w:rFonts w:hint="eastAsia" w:ascii="宋体" w:hAnsi="宋体" w:eastAsia="宋体" w:cs="宋体"/>
          <w:sz w:val="24"/>
          <w:szCs w:val="24"/>
          <w:highlight w:val="none"/>
        </w:rPr>
        <w:t>十、合同生效、变更、解除的条件</w:t>
      </w:r>
      <w:bookmarkEnd w:id="39"/>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1、本合同自双方法定代表人签字并加盖公章后生效，合同履行完毕自行终止。</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2、本合同的变更必须经过甲乙双方共同协商并签订补充协议，补签协议与本合同具有同等法律效力。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3、成果所有权归甲方所有，未经甲方同意不得提供他人使用。</w:t>
      </w:r>
    </w:p>
    <w:p>
      <w:pPr>
        <w:pStyle w:val="4"/>
        <w:ind w:left="0"/>
        <w:rPr>
          <w:rFonts w:hint="eastAsia" w:ascii="宋体" w:hAnsi="宋体" w:eastAsia="宋体" w:cs="宋体"/>
          <w:sz w:val="24"/>
          <w:szCs w:val="24"/>
          <w:highlight w:val="none"/>
        </w:rPr>
      </w:pPr>
      <w:bookmarkStart w:id="40" w:name="_Toc19337"/>
      <w:r>
        <w:rPr>
          <w:rFonts w:hint="eastAsia" w:ascii="宋体" w:hAnsi="宋体" w:eastAsia="宋体" w:cs="宋体"/>
          <w:sz w:val="24"/>
          <w:szCs w:val="24"/>
          <w:highlight w:val="none"/>
        </w:rPr>
        <w:t>十一、解决争议的方法</w:t>
      </w:r>
      <w:bookmarkEnd w:id="40"/>
    </w:p>
    <w:p>
      <w:pPr>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本合同在执行过程中，如发生任何争议、纠纷或因违反、终止本合同引起的对损失、损害的任何赔偿，应事先协商，在乙方和甲方之间达成一致意见。如未能达成一致可以采取诉讼,诉讼机构为项目所在地人民法院。</w:t>
      </w:r>
    </w:p>
    <w:p>
      <w:pPr>
        <w:pStyle w:val="4"/>
        <w:ind w:left="0"/>
        <w:rPr>
          <w:rFonts w:hint="eastAsia" w:ascii="宋体" w:hAnsi="宋体" w:eastAsia="宋体" w:cs="宋体"/>
          <w:sz w:val="24"/>
          <w:szCs w:val="24"/>
          <w:highlight w:val="none"/>
        </w:rPr>
      </w:pPr>
      <w:bookmarkStart w:id="41" w:name="_Toc27969"/>
      <w:r>
        <w:rPr>
          <w:rFonts w:hint="eastAsia" w:ascii="宋体" w:hAnsi="宋体" w:eastAsia="宋体" w:cs="宋体"/>
          <w:sz w:val="24"/>
          <w:szCs w:val="24"/>
          <w:highlight w:val="none"/>
        </w:rPr>
        <w:t>十二、不可抗力</w:t>
      </w:r>
      <w:bookmarkEnd w:id="41"/>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1、本合同项下的“不可抗力”是指不能预见，不能避免且不能克服的客观情况，使得本合同一方当事人无法履行合同义务，如战争、严重火灾、水灾、风灾和地震以及其他经三方同意属于不可抗力的事故。</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3、如不可抗力时间延续90天以上的，各方通过协商达成在合理的时间内继续履行合同，或部分履行合同，或终止合同的履行。</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4、一方迟延履行后发生不可抗力的，不能免除责任。</w:t>
      </w:r>
    </w:p>
    <w:p>
      <w:pPr>
        <w:pStyle w:val="4"/>
        <w:ind w:left="0"/>
        <w:rPr>
          <w:rFonts w:hint="eastAsia" w:ascii="宋体" w:hAnsi="宋体" w:eastAsia="宋体" w:cs="宋体"/>
          <w:sz w:val="24"/>
          <w:szCs w:val="24"/>
          <w:highlight w:val="none"/>
        </w:rPr>
      </w:pPr>
      <w:bookmarkStart w:id="42" w:name="_Toc28381"/>
      <w:r>
        <w:rPr>
          <w:rFonts w:hint="eastAsia" w:ascii="宋体" w:hAnsi="宋体" w:eastAsia="宋体" w:cs="宋体"/>
          <w:sz w:val="24"/>
          <w:szCs w:val="24"/>
          <w:highlight w:val="none"/>
        </w:rPr>
        <w:t>十三、保密条款</w:t>
      </w:r>
      <w:bookmarkEnd w:id="42"/>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双方承诺，除非法律另有规定或双方一致同意，任何一方不得将本协议的内容向第三方透露，否则，应向对方承担相应的违约责任。</w:t>
      </w:r>
    </w:p>
    <w:p>
      <w:pPr>
        <w:shd w:val="clear" w:color="auto" w:fill="FFFFFF"/>
        <w:snapToGrid w:val="0"/>
        <w:spacing w:line="360" w:lineRule="auto"/>
        <w:ind w:firstLine="480" w:firstLineChars="200"/>
        <w:rPr>
          <w:rFonts w:hint="eastAsia" w:ascii="宋体" w:hAnsi="宋体" w:eastAsia="宋体" w:cs="宋体"/>
          <w:kern w:val="28"/>
          <w:highlight w:val="none"/>
        </w:rPr>
      </w:pPr>
      <w:r>
        <w:rPr>
          <w:rFonts w:hint="eastAsia" w:ascii="宋体" w:hAnsi="宋体" w:eastAsia="宋体" w:cs="宋体"/>
          <w:kern w:val="28"/>
          <w:highlight w:val="none"/>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pPr>
        <w:shd w:val="clear" w:color="auto" w:fill="FFFFFF"/>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kern w:val="28"/>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pPr>
        <w:numPr>
          <w:ilvl w:val="0"/>
          <w:numId w:val="2"/>
        </w:numPr>
        <w:spacing w:line="360" w:lineRule="auto"/>
        <w:jc w:val="left"/>
        <w:rPr>
          <w:rFonts w:hint="eastAsia" w:ascii="宋体" w:hAnsi="宋体" w:eastAsia="宋体" w:cs="宋体"/>
          <w:b/>
          <w:bCs/>
          <w:szCs w:val="24"/>
          <w:highlight w:val="none"/>
        </w:rPr>
      </w:pPr>
      <w:r>
        <w:rPr>
          <w:rFonts w:hint="eastAsia" w:ascii="宋体" w:hAnsi="宋体" w:eastAsia="宋体" w:cs="宋体"/>
          <w:b/>
          <w:bCs/>
          <w:szCs w:val="24"/>
          <w:highlight w:val="none"/>
        </w:rPr>
        <w:t>本合同壹式</w:t>
      </w:r>
      <w:r>
        <w:rPr>
          <w:rFonts w:hint="eastAsia" w:ascii="宋体" w:hAnsi="宋体" w:eastAsia="宋体" w:cs="宋体"/>
          <w:b/>
          <w:bCs/>
          <w:i/>
          <w:iCs/>
          <w:szCs w:val="24"/>
          <w:highlight w:val="none"/>
          <w:u w:val="single"/>
        </w:rPr>
        <w:t xml:space="preserve">    </w:t>
      </w:r>
      <w:r>
        <w:rPr>
          <w:rFonts w:hint="eastAsia" w:ascii="宋体" w:hAnsi="宋体" w:eastAsia="宋体" w:cs="宋体"/>
          <w:b/>
          <w:bCs/>
          <w:szCs w:val="24"/>
          <w:highlight w:val="none"/>
        </w:rPr>
        <w:t>份，甲乙双方各执</w:t>
      </w:r>
      <w:r>
        <w:rPr>
          <w:rFonts w:hint="eastAsia" w:ascii="宋体" w:hAnsi="宋体" w:eastAsia="宋体" w:cs="宋体"/>
          <w:b/>
          <w:bCs/>
          <w:szCs w:val="24"/>
          <w:highlight w:val="none"/>
          <w:u w:val="single"/>
        </w:rPr>
        <w:t xml:space="preserve">     </w:t>
      </w:r>
      <w:r>
        <w:rPr>
          <w:rFonts w:hint="eastAsia" w:ascii="宋体" w:hAnsi="宋体" w:eastAsia="宋体" w:cs="宋体"/>
          <w:b/>
          <w:bCs/>
          <w:szCs w:val="24"/>
          <w:highlight w:val="none"/>
        </w:rPr>
        <w:t>份，具有同等法律效力。</w:t>
      </w:r>
    </w:p>
    <w:p>
      <w:pPr>
        <w:pStyle w:val="2"/>
        <w:numPr>
          <w:ilvl w:val="0"/>
          <w:numId w:val="0"/>
        </w:numPr>
        <w:rPr>
          <w:rFonts w:hint="eastAsia" w:ascii="宋体" w:hAnsi="宋体" w:eastAsia="宋体" w:cs="宋体"/>
          <w:highlight w:val="none"/>
        </w:rPr>
      </w:pPr>
    </w:p>
    <w:p>
      <w:pPr>
        <w:spacing w:line="360" w:lineRule="auto"/>
        <w:ind w:left="4320" w:hanging="4320" w:hangingChars="1793"/>
        <w:rPr>
          <w:rFonts w:hint="eastAsia" w:ascii="宋体" w:hAnsi="宋体" w:eastAsia="宋体" w:cs="宋体"/>
          <w:szCs w:val="24"/>
          <w:highlight w:val="none"/>
        </w:rPr>
      </w:pPr>
      <w:r>
        <w:rPr>
          <w:rFonts w:hint="eastAsia" w:ascii="宋体" w:hAnsi="宋体" w:eastAsia="宋体" w:cs="宋体"/>
          <w:b/>
          <w:szCs w:val="24"/>
          <w:highlight w:val="none"/>
        </w:rPr>
        <w:t>（以下无正文）</w:t>
      </w:r>
    </w:p>
    <w:p>
      <w:pPr>
        <w:tabs>
          <w:tab w:val="left" w:pos="2100"/>
          <w:tab w:val="left" w:pos="4200"/>
        </w:tabs>
        <w:spacing w:line="480" w:lineRule="auto"/>
        <w:ind w:left="-99" w:leftChars="-135" w:right="-578" w:rightChars="-241" w:hanging="225" w:hangingChars="94"/>
        <w:rPr>
          <w:rFonts w:hint="eastAsia" w:ascii="宋体" w:hAnsi="宋体" w:eastAsia="宋体" w:cs="宋体"/>
          <w:szCs w:val="24"/>
          <w:highlight w:val="none"/>
        </w:rPr>
      </w:pPr>
      <w:r>
        <w:rPr>
          <w:rFonts w:hint="eastAsia" w:ascii="宋体" w:hAnsi="宋体" w:eastAsia="宋体" w:cs="宋体"/>
          <w:szCs w:val="24"/>
          <w:highlight w:val="none"/>
        </w:rPr>
        <w:t xml:space="preserve">   甲方：蓝田县自然资源和规划局</w:t>
      </w:r>
      <w:r>
        <w:rPr>
          <w:rFonts w:hint="eastAsia" w:ascii="宋体" w:hAnsi="宋体" w:eastAsia="宋体" w:cs="宋体"/>
          <w:spacing w:val="-20"/>
          <w:szCs w:val="24"/>
          <w:highlight w:val="none"/>
        </w:rPr>
        <w:t xml:space="preserve">                       </w:t>
      </w:r>
      <w:r>
        <w:rPr>
          <w:rFonts w:hint="eastAsia" w:ascii="宋体" w:hAnsi="宋体" w:eastAsia="宋体" w:cs="宋体"/>
          <w:szCs w:val="24"/>
          <w:highlight w:val="none"/>
        </w:rPr>
        <w:t xml:space="preserve">乙方： </w:t>
      </w:r>
    </w:p>
    <w:p>
      <w:pPr>
        <w:tabs>
          <w:tab w:val="left" w:pos="2100"/>
          <w:tab w:val="left" w:pos="4200"/>
        </w:tabs>
        <w:spacing w:line="480" w:lineRule="auto"/>
        <w:ind w:left="4320" w:right="-578" w:rightChars="-241" w:hanging="4320" w:hangingChars="1800"/>
        <w:rPr>
          <w:rFonts w:hint="eastAsia" w:ascii="宋体" w:hAnsi="宋体" w:eastAsia="宋体" w:cs="宋体"/>
          <w:szCs w:val="24"/>
          <w:highlight w:val="none"/>
        </w:rPr>
      </w:pPr>
      <w:r>
        <w:rPr>
          <w:rFonts w:hint="eastAsia" w:ascii="宋体" w:hAnsi="宋体" w:eastAsia="宋体" w:cs="宋体"/>
          <w:szCs w:val="24"/>
          <w:highlight w:val="none"/>
        </w:rPr>
        <w:t xml:space="preserve">                    （盖章）                        （盖章）</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法定代表人或委托代理人：                   法定代表人或委托代理人：</w:t>
      </w:r>
    </w:p>
    <w:p>
      <w:pPr>
        <w:tabs>
          <w:tab w:val="left" w:pos="2100"/>
          <w:tab w:val="left" w:pos="4200"/>
        </w:tabs>
        <w:spacing w:line="480" w:lineRule="auto"/>
        <w:ind w:left="-103" w:leftChars="-171" w:right="-578" w:rightChars="-241" w:hanging="307" w:hangingChars="128"/>
        <w:rPr>
          <w:rFonts w:hint="eastAsia" w:ascii="宋体" w:hAnsi="宋体" w:eastAsia="宋体" w:cs="宋体"/>
          <w:szCs w:val="24"/>
          <w:highlight w:val="none"/>
        </w:rPr>
      </w:pPr>
      <w:r>
        <w:rPr>
          <w:rFonts w:hint="eastAsia" w:ascii="宋体" w:hAnsi="宋体" w:eastAsia="宋体" w:cs="宋体"/>
          <w:szCs w:val="24"/>
          <w:highlight w:val="none"/>
        </w:rPr>
        <w:t xml:space="preserve">              （签字或盖章）                            （签字或盖章）                      </w:t>
      </w:r>
    </w:p>
    <w:p>
      <w:pPr>
        <w:tabs>
          <w:tab w:val="left" w:pos="2100"/>
          <w:tab w:val="left" w:pos="4200"/>
        </w:tabs>
        <w:spacing w:line="480" w:lineRule="auto"/>
        <w:rPr>
          <w:rFonts w:hint="eastAsia" w:ascii="宋体" w:hAnsi="宋体" w:eastAsia="宋体" w:cs="宋体"/>
          <w:szCs w:val="24"/>
          <w:highlight w:val="none"/>
        </w:rPr>
      </w:pPr>
      <w:r>
        <w:rPr>
          <w:rFonts w:hint="eastAsia" w:ascii="宋体" w:hAnsi="宋体" w:eastAsia="宋体" w:cs="宋体"/>
          <w:szCs w:val="24"/>
          <w:highlight w:val="none"/>
        </w:rPr>
        <w:t xml:space="preserve">地    址:陕西省西安市蓝田县蓝新路7号       地    址： </w:t>
      </w:r>
    </w:p>
    <w:p>
      <w:pPr>
        <w:tabs>
          <w:tab w:val="left" w:pos="2100"/>
          <w:tab w:val="left" w:pos="4200"/>
        </w:tabs>
        <w:spacing w:line="480" w:lineRule="auto"/>
        <w:rPr>
          <w:rFonts w:hint="eastAsia" w:ascii="宋体" w:hAnsi="宋体" w:eastAsia="宋体" w:cs="宋体"/>
          <w:szCs w:val="24"/>
          <w:highlight w:val="none"/>
        </w:rPr>
      </w:pPr>
      <w:r>
        <w:rPr>
          <w:rFonts w:hint="eastAsia" w:ascii="宋体" w:hAnsi="宋体" w:eastAsia="宋体" w:cs="宋体"/>
          <w:szCs w:val="24"/>
          <w:highlight w:val="none"/>
        </w:rPr>
        <w:t>邮政编码：710500                            邮政编码：</w:t>
      </w:r>
    </w:p>
    <w:p>
      <w:pPr>
        <w:tabs>
          <w:tab w:val="left" w:pos="2100"/>
          <w:tab w:val="left" w:pos="4200"/>
        </w:tabs>
        <w:spacing w:line="480" w:lineRule="auto"/>
        <w:rPr>
          <w:rFonts w:hint="eastAsia" w:ascii="宋体" w:hAnsi="宋体" w:eastAsia="宋体" w:cs="宋体"/>
          <w:szCs w:val="24"/>
          <w:highlight w:val="none"/>
        </w:rPr>
      </w:pPr>
      <w:r>
        <w:rPr>
          <w:rFonts w:hint="eastAsia" w:ascii="宋体" w:hAnsi="宋体" w:eastAsia="宋体" w:cs="宋体"/>
          <w:szCs w:val="24"/>
          <w:highlight w:val="none"/>
        </w:rPr>
        <w:t xml:space="preserve">电    话：                                  电    话： </w:t>
      </w:r>
    </w:p>
    <w:p>
      <w:pPr>
        <w:tabs>
          <w:tab w:val="left" w:pos="2100"/>
          <w:tab w:val="left" w:pos="4200"/>
        </w:tabs>
        <w:spacing w:line="480" w:lineRule="auto"/>
        <w:rPr>
          <w:rFonts w:hint="eastAsia" w:ascii="宋体" w:hAnsi="宋体" w:eastAsia="宋体" w:cs="宋体"/>
          <w:szCs w:val="24"/>
          <w:highlight w:val="none"/>
        </w:rPr>
      </w:pPr>
      <w:r>
        <w:rPr>
          <w:rFonts w:hint="eastAsia" w:ascii="宋体" w:hAnsi="宋体" w:eastAsia="宋体" w:cs="宋体"/>
          <w:szCs w:val="24"/>
          <w:highlight w:val="none"/>
        </w:rPr>
        <w:t xml:space="preserve">传    真：                                  传    真： </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 xml:space="preserve">开户开户银行：  </w:t>
      </w:r>
      <w:r>
        <w:rPr>
          <w:rFonts w:hint="eastAsia" w:ascii="宋体" w:hAnsi="宋体" w:eastAsia="宋体" w:cs="宋体"/>
          <w:szCs w:val="24"/>
          <w:highlight w:val="none"/>
        </w:rPr>
        <w:tab/>
      </w:r>
      <w:r>
        <w:rPr>
          <w:rFonts w:hint="eastAsia" w:ascii="宋体" w:hAnsi="宋体" w:eastAsia="宋体" w:cs="宋体"/>
          <w:szCs w:val="24"/>
          <w:highlight w:val="none"/>
        </w:rPr>
        <w:t xml:space="preserve">                           开户单位：</w:t>
      </w:r>
      <w:r>
        <w:rPr>
          <w:rFonts w:hint="eastAsia" w:ascii="宋体" w:hAnsi="宋体" w:eastAsia="宋体" w:cs="宋体"/>
          <w:spacing w:val="-20"/>
          <w:szCs w:val="24"/>
          <w:highlight w:val="none"/>
        </w:rPr>
        <w:t xml:space="preserve"> </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银行银行帐号：                              银行帐号：</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签约地点：                                  签约地点：</w:t>
      </w:r>
    </w:p>
    <w:p>
      <w:pPr>
        <w:tabs>
          <w:tab w:val="left" w:pos="2100"/>
          <w:tab w:val="left" w:pos="4200"/>
        </w:tabs>
        <w:spacing w:line="480" w:lineRule="auto"/>
        <w:ind w:right="-578" w:rightChars="-241"/>
        <w:rPr>
          <w:rFonts w:hint="eastAsia" w:ascii="宋体" w:hAnsi="宋体" w:eastAsia="宋体" w:cs="宋体"/>
          <w:szCs w:val="24"/>
          <w:highlight w:val="none"/>
        </w:rPr>
      </w:pPr>
      <w:r>
        <w:rPr>
          <w:rFonts w:hint="eastAsia" w:ascii="宋体" w:hAnsi="宋体" w:eastAsia="宋体" w:cs="宋体"/>
          <w:szCs w:val="24"/>
          <w:highlight w:val="none"/>
        </w:rPr>
        <w:t>签约时间：202</w:t>
      </w:r>
      <w:r>
        <w:rPr>
          <w:rFonts w:hint="eastAsia" w:hAnsi="宋体" w:cs="宋体"/>
          <w:szCs w:val="24"/>
          <w:highlight w:val="none"/>
          <w:lang w:val="en-US" w:eastAsia="zh-CN"/>
        </w:rPr>
        <w:t>4</w:t>
      </w:r>
      <w:r>
        <w:rPr>
          <w:rFonts w:hint="eastAsia" w:ascii="宋体" w:hAnsi="宋体" w:eastAsia="宋体" w:cs="宋体"/>
          <w:szCs w:val="24"/>
          <w:highlight w:val="none"/>
        </w:rPr>
        <w:t>年  月  日                    签约时间：202</w:t>
      </w:r>
      <w:r>
        <w:rPr>
          <w:rFonts w:hint="eastAsia" w:hAnsi="宋体" w:cs="宋体"/>
          <w:szCs w:val="24"/>
          <w:highlight w:val="none"/>
          <w:lang w:val="en-US" w:eastAsia="zh-CN"/>
        </w:rPr>
        <w:t>4</w:t>
      </w:r>
      <w:r>
        <w:rPr>
          <w:rFonts w:hint="eastAsia" w:ascii="宋体" w:hAnsi="宋体" w:eastAsia="宋体" w:cs="宋体"/>
          <w:szCs w:val="24"/>
          <w:highlight w:val="none"/>
        </w:rPr>
        <w:t>年  月  日</w:t>
      </w:r>
    </w:p>
    <w:p>
      <w:pPr>
        <w:rPr>
          <w:rFonts w:hint="eastAsia" w:ascii="宋体" w:hAnsi="宋体" w:eastAsia="宋体" w:cs="宋体"/>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8ED8A"/>
    <w:multiLevelType w:val="singleLevel"/>
    <w:tmpl w:val="80D8ED8A"/>
    <w:lvl w:ilvl="0" w:tentative="0">
      <w:start w:val="14"/>
      <w:numFmt w:val="chineseCounting"/>
      <w:suff w:val="nothing"/>
      <w:lvlText w:val="%1、"/>
      <w:lvlJc w:val="left"/>
      <w:rPr>
        <w:rFonts w:hint="eastAsia"/>
      </w:rPr>
    </w:lvl>
  </w:abstractNum>
  <w:abstractNum w:abstractNumId="1">
    <w:nsid w:val="8622F83D"/>
    <w:multiLevelType w:val="singleLevel"/>
    <w:tmpl w:val="8622F83D"/>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7B4E5464"/>
    <w:rsid w:val="064630EF"/>
    <w:rsid w:val="06E567CC"/>
    <w:rsid w:val="0BC3220A"/>
    <w:rsid w:val="0C9C45A4"/>
    <w:rsid w:val="1A44262D"/>
    <w:rsid w:val="1BBB6955"/>
    <w:rsid w:val="32F347CF"/>
    <w:rsid w:val="35F8389A"/>
    <w:rsid w:val="37E52144"/>
    <w:rsid w:val="390F7EC1"/>
    <w:rsid w:val="3A856D10"/>
    <w:rsid w:val="3D7A75DA"/>
    <w:rsid w:val="408C234E"/>
    <w:rsid w:val="4169225E"/>
    <w:rsid w:val="469A5235"/>
    <w:rsid w:val="4B013AD5"/>
    <w:rsid w:val="57DB1539"/>
    <w:rsid w:val="581806B0"/>
    <w:rsid w:val="5B38455C"/>
    <w:rsid w:val="5D373386"/>
    <w:rsid w:val="699F29DF"/>
    <w:rsid w:val="774B7723"/>
    <w:rsid w:val="7B4E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paragraph" w:styleId="4">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5">
    <w:name w:val="heading 3"/>
    <w:basedOn w:val="1"/>
    <w:next w:val="1"/>
    <w:link w:val="11"/>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index 7"/>
    <w:basedOn w:val="1"/>
    <w:next w:val="1"/>
    <w:qFormat/>
    <w:uiPriority w:val="99"/>
    <w:pPr>
      <w:ind w:left="2520"/>
    </w:pPr>
    <w:rPr>
      <w:rFonts w:ascii="黑体" w:hAnsi="Calibri" w:eastAsia="黑体"/>
      <w:kern w:val="2"/>
      <w:sz w:val="32"/>
      <w:szCs w:val="32"/>
    </w:rPr>
  </w:style>
  <w:style w:type="paragraph" w:styleId="8">
    <w:name w:val="Normal (Web)"/>
    <w:basedOn w:val="1"/>
    <w:next w:val="7"/>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5"/>
    <w:qFormat/>
    <w:uiPriority w:val="0"/>
    <w:rPr>
      <w:rFonts w:ascii="Times New Roman" w:hAnsi="Times New Roman" w:eastAsia="仿宋"/>
      <w:b/>
      <w:bCs/>
      <w:kern w:val="2"/>
      <w:sz w:val="24"/>
      <w:szCs w:val="24"/>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Heading4"/>
    <w:basedOn w:val="1"/>
    <w:next w:val="1"/>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 w:type="paragraph" w:customStyle="1" w:styleId="1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2977</Words>
  <Characters>3063</Characters>
  <Lines>0</Lines>
  <Paragraphs>0</Paragraphs>
  <TotalTime>0</TotalTime>
  <ScaleCrop>false</ScaleCrop>
  <LinksUpToDate>false</LinksUpToDate>
  <CharactersWithSpaces>3603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2023-08-18T06:14:00Z</dcterms:created>
  <dc:creator>？</dc:creator>
  <cp:lastModifiedBy>QQQQ</cp:lastModifiedBy>
  <dcterms:modified xsi:type="dcterms:W3CDTF">2024-06-13T09:45:52Z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FC240D69AAD24DA0810042197C34DE24_11</vt:lpwstr>
  </property>
</Properties>
</file>