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D7384">
      <w:pPr>
        <w:jc w:val="center"/>
        <w:outlineLvl w:val="0"/>
        <w:rPr>
          <w:rStyle w:val="11"/>
          <w:rFonts w:hint="eastAsia" w:ascii="仿宋" w:hAnsi="仿宋" w:eastAsia="仿宋" w:cs="仿宋"/>
          <w:szCs w:val="22"/>
          <w:highlight w:val="none"/>
          <w:lang w:val="en-US" w:eastAsia="zh-CN"/>
        </w:rPr>
      </w:pPr>
      <w:r>
        <w:rPr>
          <w:rStyle w:val="11"/>
          <w:rFonts w:hint="eastAsia" w:ascii="仿宋" w:hAnsi="仿宋" w:eastAsia="仿宋" w:cs="仿宋"/>
          <w:highlight w:val="none"/>
        </w:rPr>
        <w:t>合</w:t>
      </w:r>
      <w:r>
        <w:rPr>
          <w:rStyle w:val="11"/>
          <w:rFonts w:hint="eastAsia" w:ascii="仿宋" w:hAnsi="仿宋" w:eastAsia="仿宋" w:cs="仿宋"/>
          <w:highlight w:val="none"/>
          <w:lang w:val="en-US" w:eastAsia="zh-CN"/>
        </w:rPr>
        <w:t xml:space="preserve"> </w:t>
      </w:r>
      <w:r>
        <w:rPr>
          <w:rStyle w:val="11"/>
          <w:rFonts w:hint="eastAsia" w:ascii="仿宋" w:hAnsi="仿宋" w:eastAsia="仿宋" w:cs="仿宋"/>
          <w:highlight w:val="none"/>
        </w:rPr>
        <w:t>同</w:t>
      </w:r>
      <w:r>
        <w:rPr>
          <w:rStyle w:val="11"/>
          <w:rFonts w:hint="eastAsia" w:ascii="仿宋" w:hAnsi="仿宋" w:eastAsia="仿宋" w:cs="仿宋"/>
          <w:highlight w:val="none"/>
          <w:lang w:val="en-US" w:eastAsia="zh-CN"/>
        </w:rPr>
        <w:t xml:space="preserve"> </w:t>
      </w:r>
      <w:r>
        <w:rPr>
          <w:rStyle w:val="11"/>
          <w:rFonts w:hint="eastAsia" w:ascii="仿宋" w:hAnsi="仿宋" w:eastAsia="仿宋" w:cs="仿宋"/>
          <w:szCs w:val="22"/>
          <w:highlight w:val="none"/>
          <w:lang w:val="en-US" w:eastAsia="zh-CN"/>
        </w:rPr>
        <w:t>文 本</w:t>
      </w:r>
    </w:p>
    <w:p w14:paraId="08DC62DD">
      <w:pPr>
        <w:rPr>
          <w:rFonts w:hint="eastAsia" w:ascii="仿宋" w:hAnsi="仿宋" w:eastAsia="仿宋" w:cs="仿宋"/>
          <w:bCs/>
          <w:sz w:val="32"/>
          <w:szCs w:val="32"/>
          <w:highlight w:val="none"/>
        </w:rPr>
      </w:pPr>
    </w:p>
    <w:p w14:paraId="11871E38">
      <w:pPr>
        <w:spacing w:before="120" w:line="360" w:lineRule="auto"/>
        <w:jc w:val="center"/>
        <w:rPr>
          <w:rFonts w:hint="eastAsia" w:ascii="仿宋" w:hAnsi="仿宋" w:eastAsia="仿宋" w:cs="仿宋"/>
          <w:sz w:val="28"/>
          <w:szCs w:val="28"/>
          <w:highlight w:val="none"/>
        </w:rPr>
      </w:pPr>
      <w:bookmarkStart w:id="0" w:name="_Toc23019"/>
      <w:bookmarkStart w:id="1" w:name="_Toc9523"/>
      <w:bookmarkStart w:id="2" w:name="_Toc23426"/>
      <w:r>
        <w:rPr>
          <w:rFonts w:hint="eastAsia" w:ascii="仿宋" w:hAnsi="仿宋" w:eastAsia="仿宋" w:cs="仿宋"/>
          <w:sz w:val="28"/>
          <w:szCs w:val="28"/>
          <w:highlight w:val="none"/>
        </w:rPr>
        <w:t>（参考格式）</w:t>
      </w:r>
    </w:p>
    <w:p w14:paraId="57EC0197">
      <w:pPr>
        <w:spacing w:before="120" w:line="360" w:lineRule="auto"/>
        <w:jc w:val="center"/>
        <w:rPr>
          <w:rFonts w:hint="eastAsia" w:ascii="仿宋" w:hAnsi="仿宋" w:eastAsia="仿宋" w:cs="仿宋"/>
          <w:b/>
          <w:bCs/>
          <w:sz w:val="36"/>
          <w:szCs w:val="36"/>
          <w:highlight w:val="none"/>
        </w:rPr>
      </w:pPr>
    </w:p>
    <w:p w14:paraId="36F28B70">
      <w:pPr>
        <w:spacing w:before="120" w:line="360" w:lineRule="auto"/>
        <w:jc w:val="center"/>
        <w:rPr>
          <w:rFonts w:hint="eastAsia" w:ascii="仿宋" w:hAnsi="仿宋" w:eastAsia="仿宋" w:cs="仿宋"/>
          <w:b/>
          <w:bCs/>
          <w:sz w:val="36"/>
          <w:szCs w:val="36"/>
          <w:highlight w:val="none"/>
        </w:rPr>
      </w:pPr>
    </w:p>
    <w:p w14:paraId="462F13DE">
      <w:pPr>
        <w:spacing w:before="120" w:line="360" w:lineRule="auto"/>
        <w:jc w:val="center"/>
        <w:rPr>
          <w:rFonts w:hint="eastAsia" w:ascii="仿宋" w:hAnsi="仿宋" w:eastAsia="仿宋" w:cs="仿宋"/>
          <w:b/>
          <w:bCs/>
          <w:sz w:val="36"/>
          <w:szCs w:val="36"/>
          <w:highlight w:val="none"/>
        </w:rPr>
      </w:pPr>
    </w:p>
    <w:p w14:paraId="2A286086">
      <w:pPr>
        <w:spacing w:before="120" w:line="360" w:lineRule="auto"/>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政 府 采 购 合 同</w:t>
      </w:r>
    </w:p>
    <w:p w14:paraId="06474FC9">
      <w:pPr>
        <w:spacing w:before="120" w:line="360" w:lineRule="auto"/>
        <w:ind w:firstLine="3064" w:firstLineChars="1090"/>
        <w:rPr>
          <w:rFonts w:hint="eastAsia" w:ascii="仿宋" w:hAnsi="仿宋" w:eastAsia="仿宋" w:cs="仿宋"/>
          <w:b/>
          <w:bCs/>
          <w:sz w:val="28"/>
          <w:szCs w:val="28"/>
          <w:highlight w:val="none"/>
        </w:rPr>
      </w:pPr>
      <w:bookmarkStart w:id="3" w:name="_Toc109543216"/>
      <w:bookmarkStart w:id="4" w:name="_Toc109542396"/>
    </w:p>
    <w:p w14:paraId="0493484D">
      <w:pPr>
        <w:spacing w:before="120" w:line="360" w:lineRule="auto"/>
        <w:ind w:firstLine="3064" w:firstLineChars="1090"/>
        <w:rPr>
          <w:rFonts w:hint="eastAsia" w:ascii="仿宋" w:hAnsi="仿宋" w:eastAsia="仿宋" w:cs="仿宋"/>
          <w:sz w:val="28"/>
          <w:szCs w:val="28"/>
          <w:highlight w:val="none"/>
        </w:rPr>
      </w:pPr>
      <w:r>
        <w:rPr>
          <w:rFonts w:hint="eastAsia" w:ascii="仿宋" w:hAnsi="仿宋" w:eastAsia="仿宋" w:cs="仿宋"/>
          <w:b/>
          <w:bCs/>
          <w:sz w:val="28"/>
          <w:szCs w:val="28"/>
          <w:highlight w:val="none"/>
        </w:rPr>
        <w:t>合同编号：</w:t>
      </w:r>
      <w:bookmarkEnd w:id="3"/>
      <w:bookmarkEnd w:id="4"/>
      <w:r>
        <w:rPr>
          <w:rFonts w:hint="eastAsia" w:ascii="仿宋" w:hAnsi="仿宋" w:eastAsia="仿宋" w:cs="仿宋"/>
          <w:b/>
          <w:bCs/>
          <w:sz w:val="28"/>
          <w:szCs w:val="28"/>
          <w:highlight w:val="none"/>
          <w:u w:val="single"/>
        </w:rPr>
        <w:t xml:space="preserve">            </w:t>
      </w:r>
      <w:r>
        <w:rPr>
          <w:rFonts w:hint="eastAsia" w:ascii="仿宋" w:hAnsi="仿宋" w:eastAsia="仿宋" w:cs="仿宋"/>
          <w:sz w:val="28"/>
          <w:szCs w:val="28"/>
          <w:highlight w:val="none"/>
        </w:rPr>
        <w:t xml:space="preserve">        </w:t>
      </w:r>
    </w:p>
    <w:p w14:paraId="5ADF00FE">
      <w:pPr>
        <w:spacing w:before="120" w:line="360" w:lineRule="auto"/>
        <w:rPr>
          <w:rFonts w:hint="eastAsia" w:ascii="仿宋" w:hAnsi="仿宋" w:eastAsia="仿宋" w:cs="仿宋"/>
          <w:sz w:val="28"/>
          <w:szCs w:val="28"/>
          <w:highlight w:val="none"/>
        </w:rPr>
      </w:pPr>
    </w:p>
    <w:p w14:paraId="2987520A">
      <w:pPr>
        <w:spacing w:before="120" w:line="360" w:lineRule="auto"/>
        <w:rPr>
          <w:rFonts w:hint="eastAsia" w:ascii="仿宋" w:hAnsi="仿宋" w:eastAsia="仿宋" w:cs="仿宋"/>
          <w:sz w:val="28"/>
          <w:szCs w:val="28"/>
          <w:highlight w:val="none"/>
        </w:rPr>
      </w:pPr>
    </w:p>
    <w:p w14:paraId="2A2CAF05">
      <w:pPr>
        <w:pStyle w:val="4"/>
        <w:rPr>
          <w:rFonts w:hint="eastAsia" w:ascii="仿宋" w:hAnsi="仿宋" w:eastAsia="仿宋" w:cs="仿宋"/>
          <w:sz w:val="28"/>
          <w:szCs w:val="28"/>
          <w:highlight w:val="none"/>
        </w:rPr>
      </w:pPr>
    </w:p>
    <w:p w14:paraId="2929C414">
      <w:pPr>
        <w:pStyle w:val="4"/>
        <w:rPr>
          <w:rFonts w:hint="eastAsia" w:ascii="仿宋" w:hAnsi="仿宋" w:eastAsia="仿宋" w:cs="仿宋"/>
          <w:sz w:val="28"/>
          <w:szCs w:val="28"/>
          <w:highlight w:val="none"/>
        </w:rPr>
      </w:pPr>
    </w:p>
    <w:p w14:paraId="5CEA2334">
      <w:pPr>
        <w:spacing w:line="600" w:lineRule="auto"/>
        <w:rPr>
          <w:rFonts w:hint="eastAsia" w:ascii="仿宋" w:hAnsi="仿宋" w:eastAsia="仿宋" w:cs="仿宋"/>
          <w:b/>
          <w:bCs/>
          <w:sz w:val="28"/>
          <w:szCs w:val="28"/>
          <w:highlight w:val="none"/>
        </w:rPr>
      </w:pPr>
    </w:p>
    <w:p w14:paraId="2CB2A57D">
      <w:pPr>
        <w:spacing w:line="600" w:lineRule="auto"/>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rPr>
        <w:t>项目名称：</w:t>
      </w:r>
      <w:r>
        <w:rPr>
          <w:rFonts w:hint="eastAsia" w:ascii="仿宋" w:hAnsi="仿宋" w:eastAsia="仿宋" w:cs="仿宋"/>
          <w:b w:val="0"/>
          <w:bCs w:val="0"/>
          <w:sz w:val="28"/>
          <w:szCs w:val="28"/>
          <w:highlight w:val="none"/>
          <w:u w:val="none"/>
          <w:lang w:val="en-US" w:eastAsia="zh-CN"/>
        </w:rPr>
        <w:t>“两专科一中心建设项目</w:t>
      </w:r>
      <w:r>
        <w:rPr>
          <w:rFonts w:hint="default" w:ascii="仿宋" w:hAnsi="仿宋" w:eastAsia="仿宋" w:cs="仿宋"/>
          <w:b w:val="0"/>
          <w:bCs w:val="0"/>
          <w:sz w:val="28"/>
          <w:szCs w:val="28"/>
          <w:highlight w:val="none"/>
          <w:u w:val="none"/>
          <w:lang w:val="en-US" w:eastAsia="zh-CN"/>
        </w:rPr>
        <w:t>”</w:t>
      </w:r>
      <w:r>
        <w:rPr>
          <w:rFonts w:hint="eastAsia" w:ascii="仿宋" w:hAnsi="仿宋" w:eastAsia="仿宋" w:cs="仿宋"/>
          <w:b w:val="0"/>
          <w:bCs w:val="0"/>
          <w:sz w:val="28"/>
          <w:szCs w:val="28"/>
          <w:highlight w:val="none"/>
          <w:u w:val="none"/>
          <w:lang w:val="en-US" w:eastAsia="zh-CN"/>
        </w:rPr>
        <w:t>医疗设备采购项目</w:t>
      </w:r>
      <w:r>
        <w:rPr>
          <w:rFonts w:hint="eastAsia" w:ascii="仿宋" w:hAnsi="仿宋" w:eastAsia="仿宋" w:cs="仿宋"/>
          <w:b/>
          <w:bCs/>
          <w:sz w:val="28"/>
          <w:szCs w:val="28"/>
          <w:highlight w:val="none"/>
          <w:u w:val="single"/>
          <w:lang w:val="en-US" w:eastAsia="zh-CN"/>
        </w:rPr>
        <w:t xml:space="preserve">  </w:t>
      </w:r>
      <w:r>
        <w:rPr>
          <w:rFonts w:hint="eastAsia" w:ascii="仿宋" w:hAnsi="仿宋" w:eastAsia="仿宋" w:cs="仿宋"/>
          <w:b w:val="0"/>
          <w:bCs w:val="0"/>
          <w:sz w:val="28"/>
          <w:szCs w:val="28"/>
          <w:highlight w:val="none"/>
          <w:u w:val="none"/>
          <w:lang w:val="en-US" w:eastAsia="zh-CN"/>
        </w:rPr>
        <w:t>包</w:t>
      </w:r>
    </w:p>
    <w:p w14:paraId="3E5E5391">
      <w:pPr>
        <w:spacing w:line="600" w:lineRule="auto"/>
        <w:rPr>
          <w:rFonts w:hint="eastAsia" w:ascii="仿宋" w:hAnsi="仿宋" w:eastAsia="仿宋" w:cs="仿宋"/>
          <w:b w:val="0"/>
          <w:bCs w:val="0"/>
          <w:sz w:val="28"/>
          <w:szCs w:val="28"/>
          <w:highlight w:val="none"/>
          <w:u w:val="none"/>
          <w:lang w:eastAsia="zh-CN"/>
        </w:rPr>
      </w:pPr>
      <w:r>
        <w:rPr>
          <w:rFonts w:hint="eastAsia" w:ascii="仿宋" w:hAnsi="仿宋" w:eastAsia="仿宋" w:cs="仿宋"/>
          <w:b/>
          <w:bCs/>
          <w:sz w:val="28"/>
          <w:szCs w:val="28"/>
          <w:highlight w:val="none"/>
          <w:lang w:eastAsia="zh-CN"/>
        </w:rPr>
        <w:t>采</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eastAsia="zh-CN"/>
        </w:rPr>
        <w:t>购</w:t>
      </w:r>
      <w:r>
        <w:rPr>
          <w:rFonts w:hint="eastAsia" w:ascii="仿宋" w:hAnsi="仿宋" w:eastAsia="仿宋" w:cs="仿宋"/>
          <w:b/>
          <w:bCs/>
          <w:sz w:val="28"/>
          <w:szCs w:val="28"/>
          <w:highlight w:val="none"/>
          <w:lang w:val="en-US" w:eastAsia="zh-CN"/>
        </w:rPr>
        <w:t xml:space="preserve"> </w:t>
      </w:r>
      <w:r>
        <w:rPr>
          <w:rFonts w:hint="eastAsia" w:ascii="仿宋" w:hAnsi="仿宋" w:eastAsia="仿宋" w:cs="仿宋"/>
          <w:b/>
          <w:bCs/>
          <w:sz w:val="28"/>
          <w:szCs w:val="28"/>
          <w:highlight w:val="none"/>
          <w:lang w:eastAsia="zh-CN"/>
        </w:rPr>
        <w:t>人</w:t>
      </w:r>
      <w:r>
        <w:rPr>
          <w:rFonts w:hint="eastAsia" w:ascii="仿宋" w:hAnsi="仿宋" w:eastAsia="仿宋" w:cs="仿宋"/>
          <w:b/>
          <w:bCs/>
          <w:sz w:val="28"/>
          <w:szCs w:val="28"/>
          <w:highlight w:val="none"/>
        </w:rPr>
        <w:t>：</w:t>
      </w:r>
      <w:r>
        <w:rPr>
          <w:rFonts w:hint="eastAsia" w:ascii="仿宋" w:hAnsi="仿宋" w:eastAsia="仿宋" w:cs="仿宋"/>
          <w:b w:val="0"/>
          <w:bCs w:val="0"/>
          <w:sz w:val="28"/>
          <w:szCs w:val="28"/>
          <w:highlight w:val="none"/>
          <w:u w:val="none"/>
          <w:lang w:eastAsia="zh-CN"/>
        </w:rPr>
        <w:t>蓝田县中医医院</w:t>
      </w:r>
    </w:p>
    <w:p w14:paraId="3AFA9084">
      <w:pPr>
        <w:spacing w:line="600" w:lineRule="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eastAsia="zh-CN"/>
        </w:rPr>
        <w:t>供 应 商</w:t>
      </w:r>
      <w:r>
        <w:rPr>
          <w:rFonts w:hint="eastAsia" w:ascii="仿宋" w:hAnsi="仿宋" w:eastAsia="仿宋" w:cs="仿宋"/>
          <w:b/>
          <w:bCs/>
          <w:sz w:val="28"/>
          <w:szCs w:val="28"/>
          <w:highlight w:val="none"/>
        </w:rPr>
        <w:t xml:space="preserve">：                   </w:t>
      </w:r>
    </w:p>
    <w:p w14:paraId="293AAA9C">
      <w:pPr>
        <w:spacing w:line="600" w:lineRule="auto"/>
        <w:rPr>
          <w:rFonts w:hint="eastAsia" w:ascii="仿宋" w:hAnsi="仿宋" w:eastAsia="仿宋" w:cs="仿宋"/>
          <w:b w:val="0"/>
          <w:bCs w:val="0"/>
          <w:sz w:val="24"/>
          <w:szCs w:val="24"/>
          <w:highlight w:val="none"/>
        </w:rPr>
      </w:pPr>
      <w:r>
        <w:rPr>
          <w:rFonts w:hint="eastAsia" w:ascii="仿宋" w:hAnsi="仿宋" w:eastAsia="仿宋" w:cs="仿宋"/>
          <w:b/>
          <w:bCs/>
          <w:sz w:val="28"/>
          <w:szCs w:val="28"/>
          <w:highlight w:val="none"/>
        </w:rPr>
        <w:t>签署日期：</w:t>
      </w:r>
      <w:r>
        <w:rPr>
          <w:rFonts w:hint="eastAsia" w:ascii="仿宋" w:hAnsi="仿宋" w:eastAsia="仿宋" w:cs="仿宋"/>
          <w:b w:val="0"/>
          <w:bCs w:val="0"/>
          <w:sz w:val="28"/>
          <w:szCs w:val="28"/>
          <w:highlight w:val="none"/>
        </w:rPr>
        <w:t>202</w:t>
      </w:r>
      <w:r>
        <w:rPr>
          <w:rFonts w:hint="eastAsia" w:ascii="仿宋" w:hAnsi="仿宋" w:eastAsia="仿宋" w:cs="仿宋"/>
          <w:b w:val="0"/>
          <w:bCs w:val="0"/>
          <w:sz w:val="28"/>
          <w:szCs w:val="28"/>
          <w:highlight w:val="none"/>
          <w:lang w:val="en-US" w:eastAsia="zh-CN"/>
        </w:rPr>
        <w:t>6</w:t>
      </w:r>
      <w:r>
        <w:rPr>
          <w:rFonts w:hint="eastAsia" w:ascii="仿宋" w:hAnsi="仿宋" w:eastAsia="仿宋" w:cs="仿宋"/>
          <w:b w:val="0"/>
          <w:bCs w:val="0"/>
          <w:sz w:val="28"/>
          <w:szCs w:val="28"/>
          <w:highlight w:val="none"/>
        </w:rPr>
        <w:t>年   月   日</w:t>
      </w:r>
    </w:p>
    <w:bookmarkEnd w:id="0"/>
    <w:bookmarkEnd w:id="1"/>
    <w:bookmarkEnd w:id="2"/>
    <w:p w14:paraId="3E734AEF">
      <w:pPr>
        <w:adjustRightInd w:val="0"/>
        <w:snapToGrid w:val="0"/>
        <w:spacing w:line="360" w:lineRule="auto"/>
        <w:rPr>
          <w:rFonts w:hint="eastAsia" w:ascii="仿宋" w:hAnsi="仿宋" w:eastAsia="仿宋" w:cs="仿宋"/>
          <w:b/>
          <w:color w:val="auto"/>
          <w:sz w:val="24"/>
          <w:highlight w:val="none"/>
        </w:rPr>
      </w:pPr>
      <w:bookmarkStart w:id="5" w:name="_Toc28584"/>
    </w:p>
    <w:p w14:paraId="187917C9">
      <w:pPr>
        <w:adjustRightInd w:val="0"/>
        <w:snapToGrid w:val="0"/>
        <w:spacing w:line="360" w:lineRule="auto"/>
        <w:ind w:firstLine="482" w:firstLineChars="200"/>
        <w:rPr>
          <w:rFonts w:hint="eastAsia" w:ascii="仿宋" w:hAnsi="仿宋" w:eastAsia="仿宋" w:cs="仿宋"/>
          <w:b/>
          <w:color w:val="auto"/>
          <w:sz w:val="24"/>
          <w:highlight w:val="none"/>
          <w:lang w:val="en-US" w:eastAsia="zh-CN"/>
        </w:rPr>
      </w:pPr>
    </w:p>
    <w:p w14:paraId="12FBB4E8">
      <w:pPr>
        <w:adjustRightInd w:val="0"/>
        <w:snapToGrid w:val="0"/>
        <w:spacing w:line="360" w:lineRule="auto"/>
        <w:ind w:firstLine="482" w:firstLineChars="200"/>
        <w:rPr>
          <w:rFonts w:hint="eastAsia" w:ascii="仿宋" w:hAnsi="仿宋" w:eastAsia="仿宋" w:cs="仿宋"/>
          <w:b w:val="0"/>
          <w:bCs/>
          <w:color w:val="auto"/>
          <w:sz w:val="24"/>
          <w:highlight w:val="none"/>
          <w:lang w:eastAsia="zh-CN"/>
        </w:rPr>
      </w:pPr>
      <w:r>
        <w:rPr>
          <w:rFonts w:hint="eastAsia" w:ascii="仿宋" w:hAnsi="仿宋" w:eastAsia="仿宋" w:cs="仿宋"/>
          <w:b/>
          <w:color w:val="auto"/>
          <w:sz w:val="24"/>
          <w:highlight w:val="none"/>
          <w:lang w:val="en-US" w:eastAsia="zh-CN"/>
        </w:rPr>
        <w:t>甲方（</w:t>
      </w:r>
      <w:r>
        <w:rPr>
          <w:rFonts w:hint="eastAsia" w:ascii="仿宋" w:hAnsi="仿宋" w:eastAsia="仿宋" w:cs="仿宋"/>
          <w:b/>
          <w:color w:val="auto"/>
          <w:sz w:val="24"/>
          <w:highlight w:val="none"/>
        </w:rPr>
        <w:t>采购人</w:t>
      </w:r>
      <w:r>
        <w:rPr>
          <w:rFonts w:hint="eastAsia" w:ascii="仿宋" w:hAnsi="仿宋" w:eastAsia="仿宋" w:cs="仿宋"/>
          <w:b/>
          <w:color w:val="auto"/>
          <w:sz w:val="24"/>
          <w:highlight w:val="none"/>
          <w:lang w:val="en-US" w:eastAsia="zh-CN"/>
        </w:rPr>
        <w:t>）</w:t>
      </w:r>
      <w:r>
        <w:rPr>
          <w:rFonts w:hint="eastAsia" w:ascii="仿宋" w:hAnsi="仿宋" w:eastAsia="仿宋" w:cs="仿宋"/>
          <w:b/>
          <w:color w:val="auto"/>
          <w:sz w:val="24"/>
          <w:highlight w:val="none"/>
        </w:rPr>
        <w:t>：</w:t>
      </w:r>
      <w:r>
        <w:rPr>
          <w:rFonts w:hint="eastAsia" w:ascii="仿宋" w:hAnsi="仿宋" w:eastAsia="仿宋" w:cs="仿宋"/>
          <w:b w:val="0"/>
          <w:bCs/>
          <w:color w:val="auto"/>
          <w:sz w:val="24"/>
          <w:highlight w:val="none"/>
          <w:lang w:eastAsia="zh-CN"/>
        </w:rPr>
        <w:t>蓝田县中医医院</w:t>
      </w:r>
    </w:p>
    <w:p w14:paraId="75B69BB7">
      <w:pPr>
        <w:adjustRightInd w:val="0"/>
        <w:snapToGrid w:val="0"/>
        <w:spacing w:line="360" w:lineRule="auto"/>
        <w:ind w:firstLine="482" w:firstLineChars="200"/>
        <w:rPr>
          <w:rFonts w:hint="eastAsia" w:ascii="仿宋" w:hAnsi="仿宋" w:eastAsia="仿宋" w:cs="仿宋"/>
          <w:color w:val="auto"/>
          <w:sz w:val="24"/>
          <w:highlight w:val="none"/>
        </w:rPr>
      </w:pPr>
      <w:r>
        <w:rPr>
          <w:rFonts w:hint="eastAsia" w:ascii="仿宋" w:hAnsi="仿宋" w:eastAsia="仿宋" w:cs="仿宋"/>
          <w:b/>
          <w:color w:val="auto"/>
          <w:sz w:val="24"/>
          <w:highlight w:val="none"/>
          <w:lang w:val="en-US" w:eastAsia="zh-CN"/>
        </w:rPr>
        <w:t>乙方</w:t>
      </w: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lang w:val="en-US" w:eastAsia="zh-CN"/>
        </w:rPr>
        <w:t>供应商</w:t>
      </w:r>
      <w:r>
        <w:rPr>
          <w:rFonts w:hint="eastAsia" w:ascii="仿宋" w:hAnsi="仿宋" w:eastAsia="仿宋" w:cs="仿宋"/>
          <w:b/>
          <w:color w:val="auto"/>
          <w:sz w:val="24"/>
          <w:highlight w:val="none"/>
        </w:rPr>
        <w:t>）：</w:t>
      </w:r>
      <w:r>
        <w:rPr>
          <w:rFonts w:hint="eastAsia" w:ascii="仿宋" w:hAnsi="仿宋" w:eastAsia="仿宋" w:cs="仿宋"/>
          <w:b/>
          <w:color w:val="auto"/>
          <w:sz w:val="24"/>
          <w:highlight w:val="none"/>
          <w:u w:val="single"/>
        </w:rPr>
        <w:t xml:space="preserve">                        </w:t>
      </w:r>
      <w:r>
        <w:rPr>
          <w:rFonts w:hint="eastAsia" w:ascii="仿宋" w:hAnsi="仿宋" w:eastAsia="仿宋" w:cs="仿宋"/>
          <w:b/>
          <w:color w:val="auto"/>
          <w:sz w:val="24"/>
          <w:highlight w:val="none"/>
          <w:u w:val="single"/>
          <w:lang w:val="en-US" w:eastAsia="zh-CN"/>
        </w:rPr>
        <w:t xml:space="preserve">   </w:t>
      </w:r>
      <w:r>
        <w:rPr>
          <w:rFonts w:hint="eastAsia" w:ascii="仿宋" w:hAnsi="仿宋" w:eastAsia="仿宋" w:cs="仿宋"/>
          <w:b/>
          <w:color w:val="auto"/>
          <w:sz w:val="24"/>
          <w:highlight w:val="none"/>
          <w:u w:val="single"/>
        </w:rPr>
        <w:t xml:space="preserve">   </w:t>
      </w:r>
    </w:p>
    <w:p w14:paraId="162D9DC6">
      <w:pPr>
        <w:adjustRightInd w:val="0"/>
        <w:snapToGrid w:val="0"/>
        <w:spacing w:line="360" w:lineRule="auto"/>
        <w:ind w:firstLine="480"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根据《中华人民共和国</w:t>
      </w:r>
      <w:r>
        <w:rPr>
          <w:rFonts w:hint="eastAsia" w:ascii="仿宋" w:hAnsi="仿宋" w:eastAsia="仿宋" w:cs="仿宋"/>
          <w:color w:val="auto"/>
          <w:sz w:val="24"/>
          <w:highlight w:val="none"/>
          <w:lang w:eastAsia="zh-CN"/>
        </w:rPr>
        <w:t>民法典</w:t>
      </w:r>
      <w:r>
        <w:rPr>
          <w:rFonts w:hint="eastAsia" w:ascii="仿宋" w:hAnsi="仿宋" w:eastAsia="仿宋" w:cs="仿宋"/>
          <w:color w:val="auto"/>
          <w:sz w:val="24"/>
          <w:highlight w:val="none"/>
        </w:rPr>
        <w:t>》及其他有关法律、法规，遵循平等、自愿、公平和诚信的原则，双方就下述项目范围与相关服务事项协商一致，订立本合同。</w:t>
      </w:r>
    </w:p>
    <w:p w14:paraId="35FF36FF">
      <w:pPr>
        <w:spacing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根据《中华人民共和国政府采购法》有关规定，经甲、乙双方协商，本着平等互利和诚实信用原则，一致同意签署本合同如下：</w:t>
      </w:r>
      <w:r>
        <w:rPr>
          <w:rFonts w:hint="eastAsia" w:ascii="仿宋" w:hAnsi="仿宋" w:eastAsia="仿宋" w:cs="仿宋"/>
          <w:b/>
          <w:bCs/>
          <w:sz w:val="24"/>
          <w:szCs w:val="24"/>
          <w:highlight w:val="none"/>
        </w:rPr>
        <w:t xml:space="preserve">                 </w:t>
      </w:r>
    </w:p>
    <w:p w14:paraId="72D5F00C">
      <w:pPr>
        <w:numPr>
          <w:ilvl w:val="0"/>
          <w:numId w:val="1"/>
        </w:numPr>
        <w:snapToGrid w:val="0"/>
        <w:spacing w:line="24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货物内容</w:t>
      </w:r>
    </w:p>
    <w:tbl>
      <w:tblPr>
        <w:tblStyle w:val="9"/>
        <w:tblpPr w:leftFromText="180" w:rightFromText="180" w:vertAnchor="text" w:horzAnchor="page" w:tblpX="1605" w:tblpY="548"/>
        <w:tblOverlap w:val="never"/>
        <w:tblW w:w="8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1442"/>
        <w:gridCol w:w="1379"/>
        <w:gridCol w:w="1095"/>
        <w:gridCol w:w="1163"/>
        <w:gridCol w:w="1228"/>
        <w:gridCol w:w="1592"/>
      </w:tblGrid>
      <w:tr w14:paraId="4679A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878" w:type="dxa"/>
            <w:noWrap w:val="0"/>
            <w:vAlign w:val="center"/>
          </w:tcPr>
          <w:p w14:paraId="69865FE3">
            <w:pPr>
              <w:adjustRightInd w:val="0"/>
              <w:snapToGrid w:val="0"/>
              <w:spacing w:line="24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序号</w:t>
            </w:r>
          </w:p>
        </w:tc>
        <w:tc>
          <w:tcPr>
            <w:tcW w:w="1442" w:type="dxa"/>
            <w:noWrap w:val="0"/>
            <w:vAlign w:val="center"/>
          </w:tcPr>
          <w:p w14:paraId="345E6078">
            <w:pPr>
              <w:adjustRightInd w:val="0"/>
              <w:snapToGrid w:val="0"/>
              <w:spacing w:line="240" w:lineRule="auto"/>
              <w:ind w:firstLine="240"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产品名称</w:t>
            </w:r>
          </w:p>
        </w:tc>
        <w:tc>
          <w:tcPr>
            <w:tcW w:w="1379" w:type="dxa"/>
            <w:noWrap w:val="0"/>
            <w:vAlign w:val="center"/>
          </w:tcPr>
          <w:p w14:paraId="450FE36E">
            <w:pPr>
              <w:adjustRightInd w:val="0"/>
              <w:snapToGrid w:val="0"/>
              <w:spacing w:line="240" w:lineRule="auto"/>
              <w:jc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品牌型号</w:t>
            </w:r>
          </w:p>
        </w:tc>
        <w:tc>
          <w:tcPr>
            <w:tcW w:w="1095" w:type="dxa"/>
            <w:noWrap w:val="0"/>
            <w:vAlign w:val="center"/>
          </w:tcPr>
          <w:p w14:paraId="47BC3948">
            <w:pPr>
              <w:adjustRightInd w:val="0"/>
              <w:snapToGrid w:val="0"/>
              <w:spacing w:line="240" w:lineRule="auto"/>
              <w:ind w:firstLine="240" w:firstLineChars="1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单位</w:t>
            </w:r>
          </w:p>
        </w:tc>
        <w:tc>
          <w:tcPr>
            <w:tcW w:w="1163" w:type="dxa"/>
            <w:noWrap w:val="0"/>
            <w:vAlign w:val="center"/>
          </w:tcPr>
          <w:p w14:paraId="54ED5727">
            <w:pPr>
              <w:adjustRightInd w:val="0"/>
              <w:snapToGrid w:val="0"/>
              <w:spacing w:line="240" w:lineRule="auto"/>
              <w:ind w:firstLine="240" w:firstLineChars="1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数量</w:t>
            </w:r>
          </w:p>
        </w:tc>
        <w:tc>
          <w:tcPr>
            <w:tcW w:w="1228" w:type="dxa"/>
            <w:noWrap w:val="0"/>
            <w:vAlign w:val="center"/>
          </w:tcPr>
          <w:p w14:paraId="6BD7CFF2">
            <w:pPr>
              <w:adjustRightInd w:val="0"/>
              <w:snapToGrid w:val="0"/>
              <w:spacing w:line="240" w:lineRule="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单价（元）</w:t>
            </w:r>
          </w:p>
        </w:tc>
        <w:tc>
          <w:tcPr>
            <w:tcW w:w="1592" w:type="dxa"/>
            <w:noWrap w:val="0"/>
            <w:vAlign w:val="center"/>
          </w:tcPr>
          <w:p w14:paraId="693F5706">
            <w:pPr>
              <w:adjustRightInd w:val="0"/>
              <w:snapToGrid w:val="0"/>
              <w:spacing w:line="240" w:lineRule="auto"/>
              <w:ind w:firstLine="240" w:firstLineChars="1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总价（元）</w:t>
            </w:r>
          </w:p>
        </w:tc>
      </w:tr>
      <w:tr w14:paraId="3FA0C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878" w:type="dxa"/>
            <w:noWrap w:val="0"/>
            <w:vAlign w:val="center"/>
          </w:tcPr>
          <w:p w14:paraId="09271497">
            <w:pPr>
              <w:adjustRightInd w:val="0"/>
              <w:snapToGrid w:val="0"/>
              <w:spacing w:line="240" w:lineRule="auto"/>
              <w:ind w:firstLine="480" w:firstLineChars="200"/>
              <w:rPr>
                <w:rFonts w:hint="eastAsia" w:ascii="仿宋" w:hAnsi="仿宋" w:eastAsia="仿宋" w:cs="仿宋"/>
                <w:color w:val="auto"/>
                <w:sz w:val="24"/>
                <w:highlight w:val="none"/>
              </w:rPr>
            </w:pPr>
          </w:p>
        </w:tc>
        <w:tc>
          <w:tcPr>
            <w:tcW w:w="1442" w:type="dxa"/>
            <w:noWrap w:val="0"/>
            <w:vAlign w:val="center"/>
          </w:tcPr>
          <w:p w14:paraId="75AF494E">
            <w:pPr>
              <w:adjustRightInd w:val="0"/>
              <w:snapToGrid w:val="0"/>
              <w:spacing w:line="240" w:lineRule="auto"/>
              <w:ind w:firstLine="480" w:firstLineChars="200"/>
              <w:rPr>
                <w:rFonts w:hint="eastAsia" w:ascii="仿宋" w:hAnsi="仿宋" w:eastAsia="仿宋" w:cs="仿宋"/>
                <w:color w:val="auto"/>
                <w:sz w:val="24"/>
                <w:highlight w:val="none"/>
              </w:rPr>
            </w:pPr>
          </w:p>
        </w:tc>
        <w:tc>
          <w:tcPr>
            <w:tcW w:w="1379" w:type="dxa"/>
            <w:noWrap w:val="0"/>
            <w:vAlign w:val="center"/>
          </w:tcPr>
          <w:p w14:paraId="2C0BC9A4">
            <w:pPr>
              <w:adjustRightInd w:val="0"/>
              <w:snapToGrid w:val="0"/>
              <w:spacing w:line="240" w:lineRule="auto"/>
              <w:ind w:firstLine="480" w:firstLineChars="200"/>
              <w:rPr>
                <w:rFonts w:hint="eastAsia" w:ascii="仿宋" w:hAnsi="仿宋" w:eastAsia="仿宋" w:cs="仿宋"/>
                <w:color w:val="auto"/>
                <w:sz w:val="24"/>
                <w:highlight w:val="none"/>
              </w:rPr>
            </w:pPr>
          </w:p>
        </w:tc>
        <w:tc>
          <w:tcPr>
            <w:tcW w:w="1095" w:type="dxa"/>
            <w:noWrap w:val="0"/>
            <w:vAlign w:val="center"/>
          </w:tcPr>
          <w:p w14:paraId="4AD2B6F3">
            <w:pPr>
              <w:adjustRightInd w:val="0"/>
              <w:snapToGrid w:val="0"/>
              <w:spacing w:line="240" w:lineRule="auto"/>
              <w:ind w:firstLine="480" w:firstLineChars="200"/>
              <w:rPr>
                <w:rFonts w:hint="eastAsia" w:ascii="仿宋" w:hAnsi="仿宋" w:eastAsia="仿宋" w:cs="仿宋"/>
                <w:color w:val="auto"/>
                <w:sz w:val="24"/>
                <w:highlight w:val="none"/>
              </w:rPr>
            </w:pPr>
          </w:p>
        </w:tc>
        <w:tc>
          <w:tcPr>
            <w:tcW w:w="1163" w:type="dxa"/>
            <w:noWrap w:val="0"/>
            <w:vAlign w:val="center"/>
          </w:tcPr>
          <w:p w14:paraId="03D72F01">
            <w:pPr>
              <w:adjustRightInd w:val="0"/>
              <w:snapToGrid w:val="0"/>
              <w:spacing w:line="240" w:lineRule="auto"/>
              <w:ind w:firstLine="480" w:firstLineChars="200"/>
              <w:rPr>
                <w:rFonts w:hint="eastAsia" w:ascii="仿宋" w:hAnsi="仿宋" w:eastAsia="仿宋" w:cs="仿宋"/>
                <w:color w:val="auto"/>
                <w:sz w:val="24"/>
                <w:highlight w:val="none"/>
              </w:rPr>
            </w:pPr>
          </w:p>
        </w:tc>
        <w:tc>
          <w:tcPr>
            <w:tcW w:w="1228" w:type="dxa"/>
            <w:noWrap w:val="0"/>
            <w:vAlign w:val="center"/>
          </w:tcPr>
          <w:p w14:paraId="5DB8E58F">
            <w:pPr>
              <w:adjustRightInd w:val="0"/>
              <w:snapToGrid w:val="0"/>
              <w:spacing w:line="240" w:lineRule="auto"/>
              <w:ind w:firstLine="480" w:firstLineChars="200"/>
              <w:rPr>
                <w:rFonts w:hint="eastAsia" w:ascii="仿宋" w:hAnsi="仿宋" w:eastAsia="仿宋" w:cs="仿宋"/>
                <w:color w:val="auto"/>
                <w:sz w:val="24"/>
                <w:highlight w:val="none"/>
              </w:rPr>
            </w:pPr>
          </w:p>
        </w:tc>
        <w:tc>
          <w:tcPr>
            <w:tcW w:w="1592" w:type="dxa"/>
            <w:noWrap w:val="0"/>
            <w:vAlign w:val="center"/>
          </w:tcPr>
          <w:p w14:paraId="0EFF55FA">
            <w:pPr>
              <w:adjustRightInd w:val="0"/>
              <w:snapToGrid w:val="0"/>
              <w:spacing w:line="240" w:lineRule="auto"/>
              <w:ind w:firstLine="480" w:firstLineChars="200"/>
              <w:rPr>
                <w:rFonts w:hint="eastAsia" w:ascii="仿宋" w:hAnsi="仿宋" w:eastAsia="仿宋" w:cs="仿宋"/>
                <w:color w:val="auto"/>
                <w:sz w:val="24"/>
                <w:highlight w:val="none"/>
              </w:rPr>
            </w:pPr>
          </w:p>
        </w:tc>
      </w:tr>
      <w:tr w14:paraId="3DB8D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878" w:type="dxa"/>
            <w:noWrap w:val="0"/>
            <w:vAlign w:val="center"/>
          </w:tcPr>
          <w:p w14:paraId="4D3E5897">
            <w:pPr>
              <w:adjustRightInd w:val="0"/>
              <w:snapToGrid w:val="0"/>
              <w:spacing w:line="240" w:lineRule="auto"/>
              <w:ind w:firstLine="480" w:firstLineChars="200"/>
              <w:rPr>
                <w:rFonts w:hint="eastAsia" w:ascii="仿宋" w:hAnsi="仿宋" w:eastAsia="仿宋" w:cs="仿宋"/>
                <w:color w:val="auto"/>
                <w:sz w:val="24"/>
                <w:highlight w:val="none"/>
              </w:rPr>
            </w:pPr>
          </w:p>
        </w:tc>
        <w:tc>
          <w:tcPr>
            <w:tcW w:w="1442" w:type="dxa"/>
            <w:noWrap w:val="0"/>
            <w:vAlign w:val="center"/>
          </w:tcPr>
          <w:p w14:paraId="76686294">
            <w:pPr>
              <w:adjustRightInd w:val="0"/>
              <w:snapToGrid w:val="0"/>
              <w:spacing w:line="240" w:lineRule="auto"/>
              <w:ind w:firstLine="480" w:firstLineChars="200"/>
              <w:rPr>
                <w:rFonts w:hint="eastAsia" w:ascii="仿宋" w:hAnsi="仿宋" w:eastAsia="仿宋" w:cs="仿宋"/>
                <w:color w:val="auto"/>
                <w:sz w:val="24"/>
                <w:highlight w:val="none"/>
              </w:rPr>
            </w:pPr>
          </w:p>
        </w:tc>
        <w:tc>
          <w:tcPr>
            <w:tcW w:w="1379" w:type="dxa"/>
            <w:noWrap w:val="0"/>
            <w:vAlign w:val="center"/>
          </w:tcPr>
          <w:p w14:paraId="191F1276">
            <w:pPr>
              <w:adjustRightInd w:val="0"/>
              <w:snapToGrid w:val="0"/>
              <w:spacing w:line="240" w:lineRule="auto"/>
              <w:ind w:firstLine="480" w:firstLineChars="200"/>
              <w:rPr>
                <w:rFonts w:hint="eastAsia" w:ascii="仿宋" w:hAnsi="仿宋" w:eastAsia="仿宋" w:cs="仿宋"/>
                <w:color w:val="auto"/>
                <w:sz w:val="24"/>
                <w:highlight w:val="none"/>
              </w:rPr>
            </w:pPr>
          </w:p>
        </w:tc>
        <w:tc>
          <w:tcPr>
            <w:tcW w:w="1095" w:type="dxa"/>
            <w:noWrap w:val="0"/>
            <w:vAlign w:val="center"/>
          </w:tcPr>
          <w:p w14:paraId="4E01AF46">
            <w:pPr>
              <w:adjustRightInd w:val="0"/>
              <w:snapToGrid w:val="0"/>
              <w:spacing w:line="240" w:lineRule="auto"/>
              <w:ind w:firstLine="480" w:firstLineChars="200"/>
              <w:rPr>
                <w:rFonts w:hint="eastAsia" w:ascii="仿宋" w:hAnsi="仿宋" w:eastAsia="仿宋" w:cs="仿宋"/>
                <w:color w:val="auto"/>
                <w:sz w:val="24"/>
                <w:highlight w:val="none"/>
              </w:rPr>
            </w:pPr>
          </w:p>
        </w:tc>
        <w:tc>
          <w:tcPr>
            <w:tcW w:w="1163" w:type="dxa"/>
            <w:noWrap w:val="0"/>
            <w:vAlign w:val="center"/>
          </w:tcPr>
          <w:p w14:paraId="2560B147">
            <w:pPr>
              <w:adjustRightInd w:val="0"/>
              <w:snapToGrid w:val="0"/>
              <w:spacing w:line="240" w:lineRule="auto"/>
              <w:ind w:firstLine="480" w:firstLineChars="200"/>
              <w:rPr>
                <w:rFonts w:hint="eastAsia" w:ascii="仿宋" w:hAnsi="仿宋" w:eastAsia="仿宋" w:cs="仿宋"/>
                <w:color w:val="auto"/>
                <w:sz w:val="24"/>
                <w:highlight w:val="none"/>
              </w:rPr>
            </w:pPr>
          </w:p>
        </w:tc>
        <w:tc>
          <w:tcPr>
            <w:tcW w:w="1228" w:type="dxa"/>
            <w:noWrap w:val="0"/>
            <w:vAlign w:val="center"/>
          </w:tcPr>
          <w:p w14:paraId="5C862364">
            <w:pPr>
              <w:adjustRightInd w:val="0"/>
              <w:snapToGrid w:val="0"/>
              <w:spacing w:line="240" w:lineRule="auto"/>
              <w:ind w:firstLine="480" w:firstLineChars="200"/>
              <w:rPr>
                <w:rFonts w:hint="eastAsia" w:ascii="仿宋" w:hAnsi="仿宋" w:eastAsia="仿宋" w:cs="仿宋"/>
                <w:color w:val="auto"/>
                <w:sz w:val="24"/>
                <w:highlight w:val="none"/>
              </w:rPr>
            </w:pPr>
          </w:p>
        </w:tc>
        <w:tc>
          <w:tcPr>
            <w:tcW w:w="1592" w:type="dxa"/>
            <w:noWrap w:val="0"/>
            <w:vAlign w:val="center"/>
          </w:tcPr>
          <w:p w14:paraId="504E5DB6">
            <w:pPr>
              <w:adjustRightInd w:val="0"/>
              <w:snapToGrid w:val="0"/>
              <w:spacing w:line="240" w:lineRule="auto"/>
              <w:ind w:firstLine="480" w:firstLineChars="200"/>
              <w:rPr>
                <w:rFonts w:hint="eastAsia" w:ascii="仿宋" w:hAnsi="仿宋" w:eastAsia="仿宋" w:cs="仿宋"/>
                <w:color w:val="auto"/>
                <w:sz w:val="24"/>
                <w:highlight w:val="none"/>
              </w:rPr>
            </w:pPr>
          </w:p>
        </w:tc>
      </w:tr>
      <w:tr w14:paraId="078C0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878" w:type="dxa"/>
            <w:noWrap w:val="0"/>
            <w:vAlign w:val="center"/>
          </w:tcPr>
          <w:p w14:paraId="015A065A">
            <w:pPr>
              <w:adjustRightInd w:val="0"/>
              <w:snapToGrid w:val="0"/>
              <w:spacing w:line="240" w:lineRule="auto"/>
              <w:ind w:firstLine="480" w:firstLineChars="200"/>
              <w:rPr>
                <w:rFonts w:hint="eastAsia" w:ascii="仿宋" w:hAnsi="仿宋" w:eastAsia="仿宋" w:cs="仿宋"/>
                <w:color w:val="auto"/>
                <w:sz w:val="24"/>
                <w:highlight w:val="none"/>
              </w:rPr>
            </w:pPr>
          </w:p>
        </w:tc>
        <w:tc>
          <w:tcPr>
            <w:tcW w:w="1442" w:type="dxa"/>
            <w:noWrap w:val="0"/>
            <w:vAlign w:val="center"/>
          </w:tcPr>
          <w:p w14:paraId="3A925D75">
            <w:pPr>
              <w:adjustRightInd w:val="0"/>
              <w:snapToGrid w:val="0"/>
              <w:spacing w:line="240" w:lineRule="auto"/>
              <w:ind w:firstLine="480" w:firstLineChars="200"/>
              <w:rPr>
                <w:rFonts w:hint="eastAsia" w:ascii="仿宋" w:hAnsi="仿宋" w:eastAsia="仿宋" w:cs="仿宋"/>
                <w:color w:val="auto"/>
                <w:sz w:val="24"/>
                <w:highlight w:val="none"/>
              </w:rPr>
            </w:pPr>
          </w:p>
        </w:tc>
        <w:tc>
          <w:tcPr>
            <w:tcW w:w="1379" w:type="dxa"/>
            <w:noWrap w:val="0"/>
            <w:vAlign w:val="center"/>
          </w:tcPr>
          <w:p w14:paraId="2052504F">
            <w:pPr>
              <w:adjustRightInd w:val="0"/>
              <w:snapToGrid w:val="0"/>
              <w:spacing w:line="240" w:lineRule="auto"/>
              <w:ind w:firstLine="480" w:firstLineChars="200"/>
              <w:rPr>
                <w:rFonts w:hint="eastAsia" w:ascii="仿宋" w:hAnsi="仿宋" w:eastAsia="仿宋" w:cs="仿宋"/>
                <w:color w:val="auto"/>
                <w:sz w:val="24"/>
                <w:highlight w:val="none"/>
              </w:rPr>
            </w:pPr>
          </w:p>
        </w:tc>
        <w:tc>
          <w:tcPr>
            <w:tcW w:w="1095" w:type="dxa"/>
            <w:noWrap w:val="0"/>
            <w:vAlign w:val="center"/>
          </w:tcPr>
          <w:p w14:paraId="163E4DAB">
            <w:pPr>
              <w:adjustRightInd w:val="0"/>
              <w:snapToGrid w:val="0"/>
              <w:spacing w:line="240" w:lineRule="auto"/>
              <w:ind w:firstLine="480" w:firstLineChars="200"/>
              <w:rPr>
                <w:rFonts w:hint="eastAsia" w:ascii="仿宋" w:hAnsi="仿宋" w:eastAsia="仿宋" w:cs="仿宋"/>
                <w:color w:val="auto"/>
                <w:sz w:val="24"/>
                <w:highlight w:val="none"/>
              </w:rPr>
            </w:pPr>
          </w:p>
        </w:tc>
        <w:tc>
          <w:tcPr>
            <w:tcW w:w="1163" w:type="dxa"/>
            <w:noWrap w:val="0"/>
            <w:vAlign w:val="center"/>
          </w:tcPr>
          <w:p w14:paraId="44639B58">
            <w:pPr>
              <w:adjustRightInd w:val="0"/>
              <w:snapToGrid w:val="0"/>
              <w:spacing w:line="240" w:lineRule="auto"/>
              <w:ind w:firstLine="480" w:firstLineChars="200"/>
              <w:rPr>
                <w:rFonts w:hint="eastAsia" w:ascii="仿宋" w:hAnsi="仿宋" w:eastAsia="仿宋" w:cs="仿宋"/>
                <w:color w:val="auto"/>
                <w:sz w:val="24"/>
                <w:highlight w:val="none"/>
              </w:rPr>
            </w:pPr>
          </w:p>
        </w:tc>
        <w:tc>
          <w:tcPr>
            <w:tcW w:w="1228" w:type="dxa"/>
            <w:noWrap w:val="0"/>
            <w:vAlign w:val="center"/>
          </w:tcPr>
          <w:p w14:paraId="0F37927A">
            <w:pPr>
              <w:adjustRightInd w:val="0"/>
              <w:snapToGrid w:val="0"/>
              <w:spacing w:line="240" w:lineRule="auto"/>
              <w:ind w:firstLine="480" w:firstLineChars="200"/>
              <w:rPr>
                <w:rFonts w:hint="eastAsia" w:ascii="仿宋" w:hAnsi="仿宋" w:eastAsia="仿宋" w:cs="仿宋"/>
                <w:color w:val="auto"/>
                <w:sz w:val="24"/>
                <w:highlight w:val="none"/>
              </w:rPr>
            </w:pPr>
          </w:p>
        </w:tc>
        <w:tc>
          <w:tcPr>
            <w:tcW w:w="1592" w:type="dxa"/>
            <w:noWrap w:val="0"/>
            <w:vAlign w:val="center"/>
          </w:tcPr>
          <w:p w14:paraId="565C1CBA">
            <w:pPr>
              <w:adjustRightInd w:val="0"/>
              <w:snapToGrid w:val="0"/>
              <w:spacing w:line="240" w:lineRule="auto"/>
              <w:ind w:firstLine="480" w:firstLineChars="200"/>
              <w:rPr>
                <w:rFonts w:hint="eastAsia" w:ascii="仿宋" w:hAnsi="仿宋" w:eastAsia="仿宋" w:cs="仿宋"/>
                <w:color w:val="auto"/>
                <w:sz w:val="24"/>
                <w:highlight w:val="none"/>
              </w:rPr>
            </w:pPr>
          </w:p>
        </w:tc>
      </w:tr>
      <w:tr w14:paraId="07E67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878" w:type="dxa"/>
            <w:noWrap w:val="0"/>
            <w:vAlign w:val="center"/>
          </w:tcPr>
          <w:p w14:paraId="40F8744B">
            <w:pPr>
              <w:adjustRightInd w:val="0"/>
              <w:snapToGrid w:val="0"/>
              <w:spacing w:line="240" w:lineRule="auto"/>
              <w:ind w:firstLine="480" w:firstLineChars="200"/>
              <w:rPr>
                <w:rFonts w:hint="eastAsia" w:ascii="仿宋" w:hAnsi="仿宋" w:eastAsia="仿宋" w:cs="仿宋"/>
                <w:color w:val="auto"/>
                <w:sz w:val="24"/>
                <w:highlight w:val="none"/>
              </w:rPr>
            </w:pPr>
          </w:p>
        </w:tc>
        <w:tc>
          <w:tcPr>
            <w:tcW w:w="1442" w:type="dxa"/>
            <w:noWrap w:val="0"/>
            <w:vAlign w:val="center"/>
          </w:tcPr>
          <w:p w14:paraId="6258D134">
            <w:pPr>
              <w:adjustRightInd w:val="0"/>
              <w:snapToGrid w:val="0"/>
              <w:spacing w:line="240" w:lineRule="auto"/>
              <w:ind w:firstLine="480" w:firstLineChars="200"/>
              <w:rPr>
                <w:rFonts w:hint="eastAsia" w:ascii="仿宋" w:hAnsi="仿宋" w:eastAsia="仿宋" w:cs="仿宋"/>
                <w:color w:val="auto"/>
                <w:sz w:val="24"/>
                <w:highlight w:val="none"/>
              </w:rPr>
            </w:pPr>
          </w:p>
        </w:tc>
        <w:tc>
          <w:tcPr>
            <w:tcW w:w="1379" w:type="dxa"/>
            <w:noWrap w:val="0"/>
            <w:vAlign w:val="center"/>
          </w:tcPr>
          <w:p w14:paraId="69AF282C">
            <w:pPr>
              <w:adjustRightInd w:val="0"/>
              <w:snapToGrid w:val="0"/>
              <w:spacing w:line="240" w:lineRule="auto"/>
              <w:ind w:firstLine="480" w:firstLineChars="200"/>
              <w:rPr>
                <w:rFonts w:hint="eastAsia" w:ascii="仿宋" w:hAnsi="仿宋" w:eastAsia="仿宋" w:cs="仿宋"/>
                <w:color w:val="auto"/>
                <w:sz w:val="24"/>
                <w:highlight w:val="none"/>
              </w:rPr>
            </w:pPr>
          </w:p>
        </w:tc>
        <w:tc>
          <w:tcPr>
            <w:tcW w:w="1095" w:type="dxa"/>
            <w:noWrap w:val="0"/>
            <w:vAlign w:val="center"/>
          </w:tcPr>
          <w:p w14:paraId="6B6056E4">
            <w:pPr>
              <w:adjustRightInd w:val="0"/>
              <w:snapToGrid w:val="0"/>
              <w:spacing w:line="240" w:lineRule="auto"/>
              <w:ind w:firstLine="480" w:firstLineChars="200"/>
              <w:rPr>
                <w:rFonts w:hint="eastAsia" w:ascii="仿宋" w:hAnsi="仿宋" w:eastAsia="仿宋" w:cs="仿宋"/>
                <w:color w:val="auto"/>
                <w:sz w:val="24"/>
                <w:highlight w:val="none"/>
              </w:rPr>
            </w:pPr>
          </w:p>
        </w:tc>
        <w:tc>
          <w:tcPr>
            <w:tcW w:w="1163" w:type="dxa"/>
            <w:noWrap w:val="0"/>
            <w:vAlign w:val="center"/>
          </w:tcPr>
          <w:p w14:paraId="18E9A3B2">
            <w:pPr>
              <w:adjustRightInd w:val="0"/>
              <w:snapToGrid w:val="0"/>
              <w:spacing w:line="240" w:lineRule="auto"/>
              <w:ind w:firstLine="480" w:firstLineChars="200"/>
              <w:rPr>
                <w:rFonts w:hint="eastAsia" w:ascii="仿宋" w:hAnsi="仿宋" w:eastAsia="仿宋" w:cs="仿宋"/>
                <w:color w:val="auto"/>
                <w:sz w:val="24"/>
                <w:highlight w:val="none"/>
              </w:rPr>
            </w:pPr>
          </w:p>
        </w:tc>
        <w:tc>
          <w:tcPr>
            <w:tcW w:w="1228" w:type="dxa"/>
            <w:noWrap w:val="0"/>
            <w:vAlign w:val="center"/>
          </w:tcPr>
          <w:p w14:paraId="1B2D2381">
            <w:pPr>
              <w:adjustRightInd w:val="0"/>
              <w:snapToGrid w:val="0"/>
              <w:spacing w:line="240" w:lineRule="auto"/>
              <w:ind w:firstLine="480" w:firstLineChars="200"/>
              <w:rPr>
                <w:rFonts w:hint="eastAsia" w:ascii="仿宋" w:hAnsi="仿宋" w:eastAsia="仿宋" w:cs="仿宋"/>
                <w:color w:val="auto"/>
                <w:sz w:val="24"/>
                <w:highlight w:val="none"/>
              </w:rPr>
            </w:pPr>
          </w:p>
        </w:tc>
        <w:tc>
          <w:tcPr>
            <w:tcW w:w="1592" w:type="dxa"/>
            <w:noWrap w:val="0"/>
            <w:vAlign w:val="center"/>
          </w:tcPr>
          <w:p w14:paraId="34DECE57">
            <w:pPr>
              <w:adjustRightInd w:val="0"/>
              <w:snapToGrid w:val="0"/>
              <w:spacing w:line="240" w:lineRule="auto"/>
              <w:ind w:firstLine="480" w:firstLineChars="200"/>
              <w:rPr>
                <w:rFonts w:hint="eastAsia" w:ascii="仿宋" w:hAnsi="仿宋" w:eastAsia="仿宋" w:cs="仿宋"/>
                <w:color w:val="auto"/>
                <w:sz w:val="24"/>
                <w:highlight w:val="none"/>
              </w:rPr>
            </w:pPr>
          </w:p>
        </w:tc>
      </w:tr>
      <w:tr w14:paraId="08095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2320" w:type="dxa"/>
            <w:gridSpan w:val="2"/>
            <w:noWrap w:val="0"/>
            <w:vAlign w:val="center"/>
          </w:tcPr>
          <w:p w14:paraId="3F46CAB2">
            <w:pPr>
              <w:adjustRightInd w:val="0"/>
              <w:snapToGrid w:val="0"/>
              <w:spacing w:line="24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合计金额（元）</w:t>
            </w:r>
          </w:p>
        </w:tc>
        <w:tc>
          <w:tcPr>
            <w:tcW w:w="6457" w:type="dxa"/>
            <w:gridSpan w:val="5"/>
            <w:noWrap w:val="0"/>
            <w:vAlign w:val="center"/>
          </w:tcPr>
          <w:p w14:paraId="4DF572C7">
            <w:pPr>
              <w:adjustRightInd w:val="0"/>
              <w:snapToGrid w:val="0"/>
              <w:spacing w:line="240" w:lineRule="auto"/>
              <w:ind w:firstLine="480" w:firstLineChars="200"/>
              <w:rPr>
                <w:rFonts w:hint="eastAsia" w:ascii="仿宋" w:hAnsi="仿宋" w:eastAsia="仿宋" w:cs="仿宋"/>
                <w:color w:val="auto"/>
                <w:sz w:val="24"/>
                <w:highlight w:val="none"/>
              </w:rPr>
            </w:pPr>
          </w:p>
        </w:tc>
      </w:tr>
    </w:tbl>
    <w:p w14:paraId="7FD4D5DD">
      <w:pPr>
        <w:numPr>
          <w:ilvl w:val="0"/>
          <w:numId w:val="1"/>
        </w:numPr>
        <w:snapToGrid w:val="0"/>
        <w:spacing w:line="480" w:lineRule="auto"/>
        <w:ind w:left="0" w:leftChars="0" w:firstLine="0" w:firstLineChars="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合同价款</w:t>
      </w:r>
    </w:p>
    <w:p w14:paraId="54D7B310">
      <w:pPr>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该合同总价款为（大写）      元整，小写 （￥    元）。</w:t>
      </w:r>
    </w:p>
    <w:p w14:paraId="24E0ABDB">
      <w:pPr>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合同总价款包括：乙方为完成本项目并达到谈判文件要求所需要的全部费用。包括产品供货、安装调试、验收、培训售后服务，以及增值税等税费、运杂保险费等。甲方除向乙方支付合同总价款外不再承担因本合同履行产生的任何费用。</w:t>
      </w:r>
    </w:p>
    <w:p w14:paraId="3A559DA3">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b/>
          <w:bCs/>
          <w:sz w:val="24"/>
          <w:szCs w:val="24"/>
          <w:highlight w:val="none"/>
        </w:rPr>
        <w:t>三、款项结算</w:t>
      </w:r>
    </w:p>
    <w:p w14:paraId="10D2315B">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具体付款方式：</w:t>
      </w:r>
    </w:p>
    <w:p w14:paraId="4A0D3066">
      <w:pPr>
        <w:widowControl/>
        <w:shd w:val="clear" w:color="auto" w:fill="FFFFFF"/>
        <w:spacing w:line="480" w:lineRule="auto"/>
        <w:rPr>
          <w:rFonts w:hint="eastAsia" w:ascii="仿宋" w:hAnsi="仿宋" w:eastAsia="仿宋" w:cs="仿宋"/>
          <w:color w:val="auto"/>
          <w:kern w:val="0"/>
          <w:sz w:val="24"/>
          <w:szCs w:val="24"/>
          <w:highlight w:val="none"/>
          <w:lang w:eastAsia="zh-CN"/>
        </w:rPr>
      </w:pPr>
      <w:r>
        <w:rPr>
          <w:rFonts w:hint="eastAsia" w:ascii="仿宋" w:hAnsi="仿宋" w:eastAsia="仿宋" w:cs="仿宋"/>
          <w:sz w:val="24"/>
          <w:szCs w:val="24"/>
          <w:highlight w:val="none"/>
          <w:lang w:val="en-US" w:eastAsia="zh-CN"/>
        </w:rPr>
        <w:t>第一期</w:t>
      </w:r>
      <w:r>
        <w:rPr>
          <w:rFonts w:hint="eastAsia" w:ascii="仿宋" w:hAnsi="仿宋" w:eastAsia="仿宋" w:cs="仿宋"/>
          <w:sz w:val="24"/>
          <w:szCs w:val="24"/>
          <w:highlight w:val="none"/>
        </w:rPr>
        <w:t>：</w:t>
      </w:r>
      <w:r>
        <w:rPr>
          <w:rFonts w:hint="eastAsia" w:ascii="仿宋" w:hAnsi="仿宋" w:eastAsia="仿宋" w:cs="仿宋"/>
          <w:color w:val="auto"/>
          <w:kern w:val="0"/>
          <w:sz w:val="24"/>
          <w:szCs w:val="24"/>
          <w:highlight w:val="none"/>
          <w:lang w:val="en-US" w:eastAsia="zh-CN"/>
        </w:rPr>
        <w:t>合同签订后30日内</w:t>
      </w:r>
      <w:r>
        <w:rPr>
          <w:rFonts w:hint="eastAsia" w:ascii="仿宋" w:hAnsi="仿宋" w:eastAsia="仿宋" w:cs="仿宋"/>
          <w:color w:val="auto"/>
          <w:kern w:val="0"/>
          <w:sz w:val="24"/>
          <w:szCs w:val="24"/>
          <w:highlight w:val="none"/>
          <w:lang w:eastAsia="zh-CN"/>
        </w:rPr>
        <w:t xml:space="preserve">，达到付款条件起 </w:t>
      </w: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lang w:eastAsia="zh-CN"/>
        </w:rPr>
        <w:t xml:space="preserve"> 日内，支付合同总金额的 </w:t>
      </w:r>
      <w:r>
        <w:rPr>
          <w:rFonts w:hint="eastAsia" w:ascii="仿宋" w:hAnsi="仿宋" w:eastAsia="仿宋" w:cs="仿宋"/>
          <w:color w:val="auto"/>
          <w:kern w:val="0"/>
          <w:sz w:val="24"/>
          <w:szCs w:val="24"/>
          <w:highlight w:val="none"/>
          <w:lang w:val="en-US" w:eastAsia="zh-CN"/>
        </w:rPr>
        <w:t>65</w:t>
      </w:r>
      <w:r>
        <w:rPr>
          <w:rFonts w:hint="eastAsia" w:ascii="仿宋" w:hAnsi="仿宋" w:eastAsia="仿宋" w:cs="仿宋"/>
          <w:color w:val="auto"/>
          <w:kern w:val="0"/>
          <w:sz w:val="24"/>
          <w:szCs w:val="24"/>
          <w:highlight w:val="none"/>
          <w:lang w:eastAsia="zh-CN"/>
        </w:rPr>
        <w:t>.00%。</w:t>
      </w:r>
    </w:p>
    <w:p w14:paraId="1630B5CE">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第二期</w:t>
      </w:r>
      <w:r>
        <w:rPr>
          <w:rFonts w:hint="eastAsia" w:ascii="仿宋" w:hAnsi="仿宋" w:eastAsia="仿宋" w:cs="仿宋"/>
          <w:sz w:val="24"/>
          <w:szCs w:val="24"/>
          <w:highlight w:val="none"/>
        </w:rPr>
        <w:t>：</w:t>
      </w:r>
      <w:r>
        <w:rPr>
          <w:rFonts w:hint="eastAsia" w:ascii="仿宋" w:hAnsi="仿宋" w:eastAsia="仿宋" w:cs="仿宋"/>
          <w:color w:val="auto"/>
          <w:kern w:val="0"/>
          <w:sz w:val="24"/>
          <w:szCs w:val="24"/>
          <w:highlight w:val="none"/>
          <w:lang w:val="en-US" w:eastAsia="zh-CN"/>
        </w:rPr>
        <w:t>验收合格后六个月内</w:t>
      </w:r>
      <w:r>
        <w:rPr>
          <w:rFonts w:hint="eastAsia" w:ascii="仿宋" w:hAnsi="仿宋" w:eastAsia="仿宋" w:cs="仿宋"/>
          <w:color w:val="auto"/>
          <w:kern w:val="0"/>
          <w:sz w:val="24"/>
          <w:szCs w:val="24"/>
          <w:highlight w:val="none"/>
          <w:lang w:eastAsia="zh-CN"/>
        </w:rPr>
        <w:t xml:space="preserve">，达到付款条件起 </w:t>
      </w: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lang w:eastAsia="zh-CN"/>
        </w:rPr>
        <w:t xml:space="preserve"> 日内，支付合同总金额的</w:t>
      </w:r>
      <w:r>
        <w:rPr>
          <w:rFonts w:hint="eastAsia" w:ascii="仿宋" w:hAnsi="仿宋" w:eastAsia="仿宋" w:cs="仿宋"/>
          <w:color w:val="auto"/>
          <w:kern w:val="0"/>
          <w:sz w:val="24"/>
          <w:szCs w:val="24"/>
          <w:highlight w:val="none"/>
          <w:lang w:val="en-US" w:eastAsia="zh-CN"/>
        </w:rPr>
        <w:t>30</w:t>
      </w:r>
      <w:r>
        <w:rPr>
          <w:rFonts w:hint="eastAsia" w:ascii="仿宋" w:hAnsi="仿宋" w:eastAsia="仿宋" w:cs="仿宋"/>
          <w:color w:val="auto"/>
          <w:kern w:val="0"/>
          <w:sz w:val="24"/>
          <w:szCs w:val="24"/>
          <w:highlight w:val="none"/>
          <w:lang w:eastAsia="zh-CN"/>
        </w:rPr>
        <w:t>.00%。</w:t>
      </w:r>
      <w:r>
        <w:rPr>
          <w:rFonts w:hint="eastAsia" w:ascii="仿宋" w:hAnsi="仿宋" w:eastAsia="仿宋" w:cs="仿宋"/>
          <w:sz w:val="24"/>
          <w:szCs w:val="24"/>
          <w:highlight w:val="none"/>
        </w:rPr>
        <w:t> </w:t>
      </w:r>
    </w:p>
    <w:p w14:paraId="27B41DCA">
      <w:pPr>
        <w:snapToGrid w:val="0"/>
        <w:spacing w:line="360" w:lineRule="auto"/>
        <w:jc w:val="left"/>
        <w:rPr>
          <w:rFonts w:hint="eastAsia" w:ascii="仿宋" w:hAnsi="仿宋" w:eastAsia="仿宋" w:cs="仿宋"/>
          <w:color w:val="auto"/>
          <w:kern w:val="0"/>
          <w:sz w:val="24"/>
          <w:szCs w:val="24"/>
          <w:highlight w:val="none"/>
          <w:lang w:eastAsia="zh-CN"/>
        </w:rPr>
      </w:pPr>
      <w:r>
        <w:rPr>
          <w:rFonts w:hint="eastAsia" w:ascii="仿宋" w:hAnsi="仿宋" w:eastAsia="仿宋" w:cs="仿宋"/>
          <w:sz w:val="24"/>
          <w:szCs w:val="24"/>
          <w:highlight w:val="none"/>
          <w:lang w:val="en-US" w:eastAsia="zh-CN"/>
        </w:rPr>
        <w:t>第三期</w:t>
      </w:r>
      <w:r>
        <w:rPr>
          <w:rFonts w:hint="eastAsia" w:ascii="仿宋" w:hAnsi="仿宋" w:eastAsia="仿宋" w:cs="仿宋"/>
          <w:sz w:val="24"/>
          <w:szCs w:val="24"/>
          <w:highlight w:val="none"/>
        </w:rPr>
        <w:t>：</w:t>
      </w:r>
      <w:r>
        <w:rPr>
          <w:rFonts w:hint="eastAsia" w:ascii="仿宋" w:hAnsi="仿宋" w:eastAsia="仿宋" w:cs="仿宋"/>
          <w:color w:val="auto"/>
          <w:kern w:val="0"/>
          <w:sz w:val="24"/>
          <w:szCs w:val="24"/>
          <w:highlight w:val="none"/>
          <w:lang w:val="en-US" w:eastAsia="zh-CN"/>
        </w:rPr>
        <w:t>验收合格后两年</w:t>
      </w:r>
      <w:r>
        <w:rPr>
          <w:rFonts w:hint="eastAsia" w:ascii="仿宋" w:hAnsi="仿宋" w:eastAsia="仿宋" w:cs="仿宋"/>
          <w:color w:val="auto"/>
          <w:kern w:val="0"/>
          <w:sz w:val="24"/>
          <w:szCs w:val="24"/>
          <w:highlight w:val="none"/>
          <w:lang w:eastAsia="zh-CN"/>
        </w:rPr>
        <w:t xml:space="preserve">，达到付款条件起 </w:t>
      </w: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lang w:eastAsia="zh-CN"/>
        </w:rPr>
        <w:t xml:space="preserve"> 日内，支付合同总金额的</w:t>
      </w: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eastAsia="zh-CN"/>
        </w:rPr>
        <w:t>.00%。</w:t>
      </w:r>
    </w:p>
    <w:p w14:paraId="48864C52">
      <w:pPr>
        <w:snapToGrid w:val="0"/>
        <w:spacing w:line="360" w:lineRule="auto"/>
        <w:jc w:val="left"/>
        <w:rPr>
          <w:rFonts w:hint="eastAsia" w:ascii="仿宋" w:hAnsi="仿宋" w:eastAsia="仿宋" w:cs="仿宋"/>
          <w:sz w:val="24"/>
          <w:szCs w:val="24"/>
          <w:highlight w:val="none"/>
        </w:rPr>
      </w:pPr>
    </w:p>
    <w:p w14:paraId="6B71D9D9">
      <w:pPr>
        <w:numPr>
          <w:ilvl w:val="0"/>
          <w:numId w:val="2"/>
        </w:numPr>
        <w:snapToGrid w:val="0"/>
        <w:spacing w:line="360" w:lineRule="auto"/>
        <w:jc w:val="left"/>
        <w:rPr>
          <w:rFonts w:hint="eastAsia" w:ascii="仿宋" w:hAnsi="仿宋" w:eastAsia="仿宋" w:cs="仿宋"/>
          <w:b w:val="0"/>
          <w:bCs w:val="0"/>
          <w:sz w:val="24"/>
          <w:szCs w:val="24"/>
          <w:highlight w:val="none"/>
          <w:lang w:val="en-US" w:eastAsia="zh-CN"/>
        </w:rPr>
      </w:pPr>
      <w:r>
        <w:rPr>
          <w:rFonts w:hint="eastAsia" w:ascii="仿宋" w:hAnsi="仿宋" w:eastAsia="仿宋" w:cs="仿宋"/>
          <w:b/>
          <w:bCs/>
          <w:sz w:val="24"/>
          <w:szCs w:val="24"/>
          <w:highlight w:val="none"/>
          <w:lang w:val="en-US" w:eastAsia="zh-CN"/>
        </w:rPr>
        <w:t>交货期</w:t>
      </w:r>
    </w:p>
    <w:p w14:paraId="1D2B8168">
      <w:pPr>
        <w:snapToGrid w:val="0"/>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color w:val="auto"/>
          <w:sz w:val="24"/>
          <w:szCs w:val="24"/>
          <w:highlight w:val="none"/>
          <w:lang w:val="en-US" w:eastAsia="zh-CN"/>
        </w:rPr>
        <w:t>合同签订后60个日历日内完成交货。</w:t>
      </w:r>
    </w:p>
    <w:p w14:paraId="54781E3F">
      <w:pPr>
        <w:snapToGrid w:val="0"/>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五、</w:t>
      </w:r>
      <w:r>
        <w:rPr>
          <w:rFonts w:hint="eastAsia" w:ascii="仿宋" w:hAnsi="仿宋" w:eastAsia="仿宋" w:cs="仿宋"/>
          <w:b/>
          <w:bCs/>
          <w:sz w:val="24"/>
          <w:szCs w:val="24"/>
          <w:highlight w:val="none"/>
        </w:rPr>
        <w:t>双方的权利和义务</w:t>
      </w:r>
      <w:bookmarkStart w:id="6" w:name="_GoBack"/>
    </w:p>
    <w:bookmarkEnd w:id="6"/>
    <w:p w14:paraId="4DA6BC24">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（一）甲方的权利与义务</w:t>
      </w:r>
    </w:p>
    <w:p w14:paraId="49BEC496">
      <w:pPr>
        <w:snapToGrid w:val="0"/>
        <w:spacing w:line="360" w:lineRule="auto"/>
        <w:jc w:val="left"/>
        <w:rPr>
          <w:rFonts w:hint="eastAsia" w:ascii="仿宋" w:hAnsi="仿宋" w:eastAsia="仿宋" w:cs="仿宋"/>
          <w:color w:val="auto"/>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甲方在收到货物通知后，应按</w:t>
      </w:r>
      <w:r>
        <w:rPr>
          <w:rFonts w:hint="eastAsia" w:ascii="仿宋" w:hAnsi="仿宋" w:eastAsia="仿宋" w:cs="仿宋"/>
          <w:sz w:val="24"/>
          <w:szCs w:val="24"/>
          <w:highlight w:val="none"/>
          <w:lang w:eastAsia="zh-CN"/>
        </w:rPr>
        <w:t>谈判文件</w:t>
      </w:r>
      <w:r>
        <w:rPr>
          <w:rFonts w:hint="eastAsia" w:ascii="仿宋" w:hAnsi="仿宋" w:eastAsia="仿宋" w:cs="仿宋"/>
          <w:sz w:val="24"/>
          <w:szCs w:val="24"/>
          <w:highlight w:val="none"/>
        </w:rPr>
        <w:t>的需求进行核实，如发现不符合合同规定或短缺，及时提出，甲方在收到货后，组织人员按提供的技术参数指标进行验收</w:t>
      </w:r>
      <w:r>
        <w:rPr>
          <w:rFonts w:hint="eastAsia" w:ascii="仿宋" w:hAnsi="仿宋" w:eastAsia="仿宋" w:cs="仿宋"/>
          <w:color w:val="auto"/>
          <w:sz w:val="24"/>
          <w:szCs w:val="24"/>
          <w:highlight w:val="none"/>
        </w:rPr>
        <w:t>。</w:t>
      </w:r>
    </w:p>
    <w:p w14:paraId="2CE8D75B">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（二）乙方的权利与义务</w:t>
      </w:r>
    </w:p>
    <w:p w14:paraId="2FBE14D0">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1.乙方负责设备安装与调试在合同约定的时间完工；</w:t>
      </w:r>
    </w:p>
    <w:p w14:paraId="5768B9FA">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2.乙方所提供的设备必须是采购需求产品，运输及安装全过程中的安全由乙方负责；</w:t>
      </w:r>
    </w:p>
    <w:p w14:paraId="4F0BF5F4">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3.在仪器安装及调试过程中，乙方应积极配合甲方，最终完成产品的安装调试工作。</w:t>
      </w:r>
    </w:p>
    <w:p w14:paraId="0E5B71B7">
      <w:pPr>
        <w:snapToGrid w:val="0"/>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六</w:t>
      </w:r>
      <w:r>
        <w:rPr>
          <w:rFonts w:hint="eastAsia" w:ascii="仿宋" w:hAnsi="仿宋" w:eastAsia="仿宋" w:cs="仿宋"/>
          <w:b/>
          <w:bCs/>
          <w:sz w:val="24"/>
          <w:szCs w:val="24"/>
          <w:highlight w:val="none"/>
        </w:rPr>
        <w:t>、运输</w:t>
      </w:r>
    </w:p>
    <w:p w14:paraId="294DFA67">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（一）乙方负责所有设备的运输，确保采购产品安全、完整到达甲方指定地点。运杂费用已包含在合同总价内，包括从设备供应地点所含的运输费、装卸费、仓储费、保险费等。</w:t>
      </w:r>
    </w:p>
    <w:p w14:paraId="1434AE7C">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（二）运输方式由乙方自行选择，但必须保证按期交货，所有采购货物在运输、搬运的过程中，造成甲方损失的，由乙方为甲方修复或更</w:t>
      </w:r>
      <w:r>
        <w:rPr>
          <w:rFonts w:hint="eastAsia" w:ascii="仿宋" w:hAnsi="仿宋" w:eastAsia="仿宋" w:cs="仿宋"/>
          <w:sz w:val="24"/>
          <w:szCs w:val="24"/>
          <w:highlight w:val="none"/>
          <w:lang w:val="en-US" w:eastAsia="zh-CN"/>
        </w:rPr>
        <w:t>换</w:t>
      </w:r>
      <w:r>
        <w:rPr>
          <w:rFonts w:hint="eastAsia" w:ascii="仿宋" w:hAnsi="仿宋" w:eastAsia="仿宋" w:cs="仿宋"/>
          <w:sz w:val="24"/>
          <w:szCs w:val="24"/>
          <w:highlight w:val="none"/>
        </w:rPr>
        <w:t>。</w:t>
      </w:r>
    </w:p>
    <w:p w14:paraId="39B9BE0C">
      <w:pPr>
        <w:snapToGrid w:val="0"/>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七</w:t>
      </w:r>
      <w:r>
        <w:rPr>
          <w:rFonts w:hint="eastAsia" w:ascii="仿宋" w:hAnsi="仿宋" w:eastAsia="仿宋" w:cs="仿宋"/>
          <w:b/>
          <w:bCs/>
          <w:sz w:val="24"/>
          <w:szCs w:val="24"/>
          <w:highlight w:val="none"/>
        </w:rPr>
        <w:t>、质量保证</w:t>
      </w:r>
    </w:p>
    <w:p w14:paraId="10F28284">
      <w:pPr>
        <w:widowControl/>
        <w:shd w:val="clear" w:color="auto" w:fill="FFFFFF"/>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保修期：</w:t>
      </w:r>
      <w:r>
        <w:rPr>
          <w:rFonts w:hint="eastAsia" w:ascii="仿宋" w:hAnsi="仿宋" w:eastAsia="仿宋" w:cs="仿宋"/>
          <w:sz w:val="24"/>
          <w:szCs w:val="24"/>
          <w:highlight w:val="none"/>
          <w:lang w:val="en-US" w:eastAsia="zh-CN"/>
        </w:rPr>
        <w:t>24</w:t>
      </w:r>
      <w:r>
        <w:rPr>
          <w:rFonts w:hint="eastAsia" w:ascii="仿宋" w:hAnsi="仿宋" w:eastAsia="仿宋" w:cs="仿宋"/>
          <w:sz w:val="24"/>
          <w:szCs w:val="24"/>
          <w:highlight w:val="none"/>
        </w:rPr>
        <w:t>个月。</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所供货物必须执行下列条款</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）保证技术指标先进、产品全新、质量性能可靠、进货渠道正常，配置合理，全面满足采购文件要求。（</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）符合国家有关规范要求和标准，确保达到最佳运行状态，对于由于产品设计、工艺或材料的缺陷而产生的质量问题负责。（</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）具有良好的外观，适合安装场所的使用。（</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）自安装、调试正常运行并验收合格之日起</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1、免费质保</w:t>
      </w:r>
      <w:r>
        <w:rPr>
          <w:rFonts w:hint="eastAsia" w:ascii="仿宋" w:hAnsi="仿宋" w:eastAsia="仿宋" w:cs="仿宋"/>
          <w:sz w:val="24"/>
          <w:szCs w:val="24"/>
          <w:highlight w:val="none"/>
          <w:lang w:val="en-US" w:eastAsia="zh-CN"/>
        </w:rPr>
        <w:t>24</w:t>
      </w:r>
      <w:r>
        <w:rPr>
          <w:rFonts w:hint="eastAsia" w:ascii="仿宋" w:hAnsi="仿宋" w:eastAsia="仿宋" w:cs="仿宋"/>
          <w:sz w:val="24"/>
          <w:szCs w:val="24"/>
          <w:highlight w:val="none"/>
        </w:rPr>
        <w:t>个月，同一主要部件出现质量问题经过两次维修后仍无法正常使用的，</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有权立即要求</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免费更换同型号、同规格的产品，服务响应时间及解决方案按照合同约定执行</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若</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未按照上述约定期限内及时解决问题,造成</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损失扩大的</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应就损失扩大部分承担全部赔偿责任。2、30天内，如出现质量问题，</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可以选择换货或退货； 3、7天内，如出现质量问题，</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可选择换货。售后服务：质保期内，非人为原因出现故障问题，免费进行维修，不收取任何费用。24小时电话响应，若电话沟通无法解决问题，需2小时内上门，6小时内解决问题或提供备机。</w:t>
      </w:r>
    </w:p>
    <w:p w14:paraId="221CBEF3">
      <w:pPr>
        <w:snapToGrid w:val="0"/>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八</w:t>
      </w:r>
      <w:r>
        <w:rPr>
          <w:rFonts w:hint="eastAsia" w:ascii="仿宋" w:hAnsi="仿宋" w:eastAsia="仿宋" w:cs="仿宋"/>
          <w:b/>
          <w:bCs/>
          <w:sz w:val="24"/>
          <w:szCs w:val="24"/>
          <w:highlight w:val="none"/>
        </w:rPr>
        <w:t>、售后服务</w:t>
      </w:r>
    </w:p>
    <w:p w14:paraId="4179104F">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1.乙方所供设备发生质量问题，</w:t>
      </w:r>
      <w:r>
        <w:rPr>
          <w:rFonts w:hint="eastAsia" w:ascii="仿宋" w:hAnsi="仿宋" w:eastAsia="仿宋" w:cs="仿宋"/>
          <w:b w:val="0"/>
          <w:bCs/>
          <w:color w:val="auto"/>
          <w:kern w:val="0"/>
          <w:sz w:val="24"/>
          <w:szCs w:val="20"/>
          <w:highlight w:val="none"/>
          <w:lang w:val="en-US" w:eastAsia="zh-CN" w:bidi="ar"/>
        </w:rPr>
        <w:t>必须在接到甲方故障报告后在2小时内维修工程师到达现场，排除故障的期限不得超过24小时，否则成交供应商需提供备用机供临床使用；</w:t>
      </w:r>
      <w:r>
        <w:rPr>
          <w:rFonts w:hint="eastAsia" w:ascii="仿宋" w:hAnsi="仿宋" w:eastAsia="仿宋" w:cs="仿宋"/>
          <w:sz w:val="24"/>
          <w:szCs w:val="24"/>
          <w:highlight w:val="none"/>
        </w:rPr>
        <w:t>发生的全部费用由乙方承担，若需将设备送回生产厂，乙方承担往返费用。由于乙方的保证服务不到位，质保期的到期时间</w:t>
      </w:r>
      <w:r>
        <w:rPr>
          <w:rFonts w:hint="eastAsia" w:ascii="仿宋" w:hAnsi="仿宋" w:eastAsia="仿宋" w:cs="仿宋"/>
          <w:sz w:val="24"/>
          <w:szCs w:val="24"/>
          <w:highlight w:val="none"/>
          <w:lang w:val="en-US" w:eastAsia="zh-CN"/>
        </w:rPr>
        <w:t>相应</w:t>
      </w:r>
      <w:r>
        <w:rPr>
          <w:rFonts w:hint="eastAsia" w:ascii="仿宋" w:hAnsi="仿宋" w:eastAsia="仿宋" w:cs="仿宋"/>
          <w:sz w:val="24"/>
          <w:szCs w:val="24"/>
          <w:highlight w:val="none"/>
        </w:rPr>
        <w:t>顺延。</w:t>
      </w:r>
    </w:p>
    <w:p w14:paraId="2335026C">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2、设备</w:t>
      </w:r>
      <w:r>
        <w:rPr>
          <w:rFonts w:hint="eastAsia" w:ascii="仿宋" w:hAnsi="仿宋" w:eastAsia="仿宋" w:cs="仿宋"/>
          <w:sz w:val="24"/>
          <w:szCs w:val="24"/>
          <w:highlight w:val="none"/>
          <w:lang w:val="en-US" w:eastAsia="zh-CN"/>
        </w:rPr>
        <w:t>质保期满</w:t>
      </w:r>
      <w:r>
        <w:rPr>
          <w:rFonts w:hint="eastAsia" w:ascii="仿宋" w:hAnsi="仿宋" w:eastAsia="仿宋" w:cs="仿宋"/>
          <w:sz w:val="24"/>
          <w:szCs w:val="24"/>
          <w:highlight w:val="none"/>
        </w:rPr>
        <w:t>后，若有零部件出现故障，经权威部门鉴定属于寿命异常问题（明显短于该零部件正常寿命）时，则由乙方负责免费更换及维修。</w:t>
      </w:r>
    </w:p>
    <w:p w14:paraId="19B46DC0">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3、在配件停止生产的情况下，乙方应事先将要停止生产的计划通知甲方，使甲方有足够的时间采购所需备件；在备件停止生产后，乙方应免费向甲方提供备件的图纸、资料。</w:t>
      </w:r>
    </w:p>
    <w:p w14:paraId="3FA74840">
      <w:pPr>
        <w:snapToGrid w:val="0"/>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九</w:t>
      </w:r>
      <w:r>
        <w:rPr>
          <w:rFonts w:hint="eastAsia" w:ascii="仿宋" w:hAnsi="仿宋" w:eastAsia="仿宋" w:cs="仿宋"/>
          <w:b/>
          <w:bCs/>
          <w:sz w:val="24"/>
          <w:szCs w:val="24"/>
          <w:highlight w:val="none"/>
        </w:rPr>
        <w:t>、技术与服务</w:t>
      </w:r>
    </w:p>
    <w:p w14:paraId="5279C6F6">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（一）技术资料：</w:t>
      </w:r>
    </w:p>
    <w:p w14:paraId="0BCA1171">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产品合格证、产品使用说明书、装箱清单、维修手册、出厂报告、 </w:t>
      </w:r>
    </w:p>
    <w:p w14:paraId="0BAC37B1">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（二）服务承诺：以</w:t>
      </w:r>
      <w:r>
        <w:rPr>
          <w:rFonts w:hint="eastAsia" w:ascii="仿宋" w:hAnsi="仿宋" w:eastAsia="仿宋" w:cs="仿宋"/>
          <w:sz w:val="24"/>
          <w:szCs w:val="24"/>
          <w:highlight w:val="none"/>
          <w:lang w:val="en-US" w:eastAsia="zh-CN"/>
        </w:rPr>
        <w:t>谈判</w:t>
      </w:r>
      <w:r>
        <w:rPr>
          <w:rFonts w:hint="eastAsia" w:ascii="仿宋" w:hAnsi="仿宋" w:eastAsia="仿宋" w:cs="仿宋"/>
          <w:sz w:val="24"/>
          <w:szCs w:val="24"/>
          <w:highlight w:val="none"/>
        </w:rPr>
        <w:t>文件、澄清表、合同和随产品的相关文件为准，但至少应包括：</w:t>
      </w:r>
    </w:p>
    <w:p w14:paraId="475BA277">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1.乙方对其所售设备负责备品配件的供应,</w:t>
      </w:r>
      <w:r>
        <w:rPr>
          <w:rFonts w:hint="eastAsia" w:ascii="仿宋" w:hAnsi="仿宋" w:eastAsia="仿宋" w:cs="仿宋"/>
          <w:sz w:val="24"/>
          <w:szCs w:val="24"/>
          <w:highlight w:val="none"/>
          <w:lang w:val="en-US" w:eastAsia="zh-CN"/>
        </w:rPr>
        <w:t>并</w:t>
      </w:r>
      <w:r>
        <w:rPr>
          <w:rFonts w:hint="eastAsia" w:ascii="仿宋" w:hAnsi="仿宋" w:eastAsia="仿宋" w:cs="仿宋"/>
          <w:sz w:val="24"/>
          <w:szCs w:val="24"/>
          <w:highlight w:val="none"/>
        </w:rPr>
        <w:t>长期提供维修、技术咨询等服务。</w:t>
      </w:r>
    </w:p>
    <w:p w14:paraId="37217A87">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2.服务响应时限：7</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24小时服务。</w:t>
      </w:r>
    </w:p>
    <w:p w14:paraId="27988100">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3.派专人对所供设备提供售后服务。</w:t>
      </w:r>
    </w:p>
    <w:p w14:paraId="319D6D87">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（三）人员培训：当设备安装调试结束后，乙方应对使用人员进行培训，并制作培训教材以便使用。</w:t>
      </w:r>
    </w:p>
    <w:p w14:paraId="314DF9F1">
      <w:pPr>
        <w:snapToGrid w:val="0"/>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val="en-US" w:eastAsia="zh-CN"/>
        </w:rPr>
        <w:t>十</w:t>
      </w:r>
      <w:r>
        <w:rPr>
          <w:rFonts w:hint="eastAsia" w:ascii="仿宋" w:hAnsi="仿宋" w:eastAsia="仿宋" w:cs="仿宋"/>
          <w:b/>
          <w:bCs/>
          <w:sz w:val="24"/>
          <w:szCs w:val="24"/>
          <w:highlight w:val="none"/>
        </w:rPr>
        <w:t>、违约责任</w:t>
      </w:r>
    </w:p>
    <w:p w14:paraId="0108CDAA">
      <w:pPr>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1、按《中华人民共和国政府采购法》、《中华人民共和国民法典》中的相关条款执行。 </w:t>
      </w:r>
    </w:p>
    <w:p w14:paraId="412B9BD0">
      <w:pPr>
        <w:snapToGrid w:val="0"/>
        <w:spacing w:line="360" w:lineRule="auto"/>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未按合同要求提供货物、质保服务或质量不能满足采购文件技术要求，在约定的条件下，乙方必须无条件更换，提高技术，完善质量，提供质保服务，否则，甲方有权解除合同，解除合同书面通知书到达乙方之日视为合同已解除，并按以下两种方式追究乙方的违约责任：（1）乙方赔偿甲方解除合同的全部损失（包括但不限于重新采购产生的费用、合同未履行导致设备不能按规划交付使用可能产生的租赁费用及其它由此造成的甲方对第三方的违约损失）；（2）乙方支付甲方违约金，违约金计算方法：以合同总价为基数，支付甲方合同总价的30%为违约金，同时，对乙方的违约行为报监管机构进行相应的处罚。供应商应按照合同规定的期限完成供货及安装、调试，每延迟一天应承担当期应付款2‰的违约金，违约金累计不超过当期应付款10%。若违约金累计已达上限，供应商仍未履行，采购人有权解除合同。如遇人力不可违抗的原因造成违约除外。本合同在履行过程中发生的争议，由甲、乙双方当事人协商解决，协商不成的依法向甲方所在地人民法院起诉。</w:t>
      </w:r>
    </w:p>
    <w:p w14:paraId="4DF9E926">
      <w:pPr>
        <w:snapToGrid w:val="0"/>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一</w:t>
      </w:r>
      <w:r>
        <w:rPr>
          <w:rFonts w:hint="eastAsia" w:ascii="仿宋" w:hAnsi="仿宋" w:eastAsia="仿宋" w:cs="仿宋"/>
          <w:b/>
          <w:bCs/>
          <w:sz w:val="24"/>
          <w:szCs w:val="24"/>
          <w:highlight w:val="none"/>
        </w:rPr>
        <w:t>、验收</w:t>
      </w:r>
    </w:p>
    <w:p w14:paraId="65C5AC83">
      <w:pPr>
        <w:widowControl/>
        <w:shd w:val="clear" w:color="auto" w:fill="FFFFFF"/>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验收标准：</w:t>
      </w:r>
    </w:p>
    <w:p w14:paraId="344B2101">
      <w:pPr>
        <w:snapToGrid w:val="0"/>
        <w:spacing w:line="360" w:lineRule="auto"/>
        <w:jc w:val="left"/>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1、依据合同及合同附件，确保交钥匙工程。</w:t>
      </w:r>
    </w:p>
    <w:p w14:paraId="1CC03A77">
      <w:pPr>
        <w:snapToGrid w:val="0"/>
        <w:spacing w:line="360" w:lineRule="auto"/>
        <w:jc w:val="left"/>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 xml:space="preserve">2、国家相应的标准、规范。 </w:t>
      </w:r>
    </w:p>
    <w:p w14:paraId="015D5E2D">
      <w:pPr>
        <w:snapToGrid w:val="0"/>
        <w:spacing w:line="360" w:lineRule="auto"/>
        <w:jc w:val="left"/>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3、竞争性采购文件、响应文件、澄清表（函）。质量验收标准或规范：现行的国家标准或国家行政部门颁布的法律法规、规章制度、采购文件（包括澄清、答疑等）、投标文件。没有国家标准的，可以参考行业标准。</w:t>
      </w:r>
    </w:p>
    <w:p w14:paraId="4F88F8D2">
      <w:pPr>
        <w:snapToGrid w:val="0"/>
        <w:spacing w:line="360" w:lineRule="auto"/>
        <w:jc w:val="left"/>
        <w:rPr>
          <w:rFonts w:hint="eastAsia" w:ascii="仿宋" w:hAnsi="仿宋" w:eastAsia="仿宋" w:cs="仿宋"/>
          <w:bCs/>
          <w:color w:val="auto"/>
          <w:sz w:val="24"/>
          <w:highlight w:val="none"/>
          <w:lang w:val="en-US" w:eastAsia="zh-CN"/>
        </w:rPr>
      </w:pPr>
      <w:r>
        <w:rPr>
          <w:rFonts w:hint="eastAsia" w:ascii="仿宋" w:hAnsi="仿宋" w:eastAsia="仿宋" w:cs="仿宋"/>
          <w:bCs/>
          <w:color w:val="auto"/>
          <w:sz w:val="24"/>
          <w:highlight w:val="none"/>
          <w:lang w:val="en-US" w:eastAsia="zh-CN"/>
        </w:rPr>
        <w:t>验收方法：</w:t>
      </w:r>
    </w:p>
    <w:p w14:paraId="144A61E5">
      <w:pPr>
        <w:snapToGrid w:val="0"/>
        <w:spacing w:line="360" w:lineRule="auto"/>
        <w:jc w:val="left"/>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 xml:space="preserve">1、由代理机构组织专家，采购人，上级主管部门和财政部门共同参与验收；验收合格须交接项目实施的全部资料，并填写政府采购项目验收报告单。 </w:t>
      </w:r>
    </w:p>
    <w:p w14:paraId="3A02A085">
      <w:pPr>
        <w:snapToGrid w:val="0"/>
        <w:spacing w:line="360" w:lineRule="auto"/>
        <w:jc w:val="left"/>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 xml:space="preserve">2、货物安装、调试过程中，属于国家计量法规定需要检测的设备及配件，供应商需提供计量检测部门的检测报告，属于特种设备的，供应商需办理注册登记和使用许可，而后能够正常使用时书面通知采购人。 </w:t>
      </w:r>
    </w:p>
    <w:p w14:paraId="4C3510A8">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bCs/>
          <w:color w:val="auto"/>
          <w:sz w:val="24"/>
          <w:highlight w:val="none"/>
          <w:lang w:eastAsia="zh-CN"/>
        </w:rPr>
        <w:t>3、采购人确认接收供应商的自检内容后，进行验收，验收合格后，由供应商对采购人操作人员进行培训，完成培训后，采购人填写验收单作为对货物的最终认可。供应商向采购人提交货物实施过程中的所有资料，以便采购人日后管理和维护。</w:t>
      </w:r>
    </w:p>
    <w:p w14:paraId="2773B457">
      <w:pPr>
        <w:snapToGrid w:val="0"/>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二</w:t>
      </w:r>
      <w:r>
        <w:rPr>
          <w:rFonts w:hint="eastAsia" w:ascii="仿宋" w:hAnsi="仿宋" w:eastAsia="仿宋" w:cs="仿宋"/>
          <w:b/>
          <w:bCs/>
          <w:sz w:val="24"/>
          <w:szCs w:val="24"/>
          <w:highlight w:val="none"/>
        </w:rPr>
        <w:t>、合同争议解决的方式</w:t>
      </w:r>
    </w:p>
    <w:p w14:paraId="43E6069F">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本合同在履行过程中发生的争议，由甲、乙双方当事人协商解决，协商不成的按下列第（</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）种方式解决：</w:t>
      </w:r>
    </w:p>
    <w:p w14:paraId="32471774">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（一）提交</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仲裁委员会仲裁；</w:t>
      </w:r>
    </w:p>
    <w:p w14:paraId="02D87BAC">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（二）依法向</w:t>
      </w:r>
      <w:r>
        <w:rPr>
          <w:rFonts w:hint="eastAsia" w:ascii="仿宋" w:hAnsi="仿宋" w:eastAsia="仿宋" w:cs="仿宋"/>
          <w:sz w:val="24"/>
          <w:szCs w:val="24"/>
          <w:highlight w:val="none"/>
          <w:lang w:val="en-US" w:eastAsia="zh-CN"/>
        </w:rPr>
        <w:t>甲方所在地</w:t>
      </w:r>
      <w:r>
        <w:rPr>
          <w:rFonts w:hint="eastAsia" w:ascii="仿宋" w:hAnsi="仿宋" w:eastAsia="仿宋" w:cs="仿宋"/>
          <w:sz w:val="24"/>
          <w:szCs w:val="24"/>
          <w:highlight w:val="none"/>
        </w:rPr>
        <w:t>人民法院起诉。</w:t>
      </w:r>
    </w:p>
    <w:p w14:paraId="715237A7">
      <w:pPr>
        <w:snapToGrid w:val="0"/>
        <w:spacing w:line="360" w:lineRule="auto"/>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val="en-US" w:eastAsia="zh-CN"/>
        </w:rPr>
        <w:t>三</w:t>
      </w:r>
      <w:r>
        <w:rPr>
          <w:rFonts w:hint="eastAsia" w:ascii="仿宋" w:hAnsi="仿宋" w:eastAsia="仿宋" w:cs="仿宋"/>
          <w:b/>
          <w:bCs/>
          <w:sz w:val="24"/>
          <w:szCs w:val="24"/>
          <w:highlight w:val="none"/>
        </w:rPr>
        <w:t>、合同生效</w:t>
      </w:r>
    </w:p>
    <w:p w14:paraId="7E513EDE">
      <w:pPr>
        <w:snapToGrid w:val="0"/>
        <w:spacing w:line="360" w:lineRule="auto"/>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（一）本合同经双方签字</w:t>
      </w:r>
      <w:r>
        <w:rPr>
          <w:rFonts w:hint="eastAsia" w:ascii="仿宋" w:hAnsi="仿宋" w:eastAsia="仿宋" w:cs="仿宋"/>
          <w:sz w:val="24"/>
          <w:szCs w:val="24"/>
          <w:highlight w:val="none"/>
          <w:lang w:val="en-US" w:eastAsia="zh-CN"/>
        </w:rPr>
        <w:t>并</w:t>
      </w:r>
      <w:r>
        <w:rPr>
          <w:rFonts w:hint="eastAsia" w:ascii="仿宋" w:hAnsi="仿宋" w:eastAsia="仿宋" w:cs="仿宋"/>
          <w:sz w:val="24"/>
          <w:szCs w:val="24"/>
          <w:highlight w:val="none"/>
        </w:rPr>
        <w:t>盖章后生效。</w:t>
      </w:r>
    </w:p>
    <w:p w14:paraId="10E5213C">
      <w:pPr>
        <w:snapToGrid w:val="0"/>
        <w:spacing w:line="360" w:lineRule="auto"/>
        <w:jc w:val="left"/>
        <w:rPr>
          <w:rFonts w:hint="eastAsia" w:ascii="仿宋" w:hAnsi="仿宋" w:eastAsia="仿宋" w:cs="仿宋"/>
          <w:color w:val="0000FF"/>
          <w:sz w:val="24"/>
          <w:szCs w:val="24"/>
          <w:highlight w:val="none"/>
        </w:rPr>
      </w:pPr>
      <w:r>
        <w:rPr>
          <w:rFonts w:hint="eastAsia" w:ascii="仿宋" w:hAnsi="仿宋" w:eastAsia="仿宋" w:cs="仿宋"/>
          <w:color w:val="0000FF"/>
          <w:sz w:val="24"/>
          <w:szCs w:val="24"/>
          <w:highlight w:val="none"/>
        </w:rPr>
        <w:t>（</w:t>
      </w:r>
      <w:r>
        <w:rPr>
          <w:rFonts w:hint="eastAsia" w:ascii="仿宋" w:hAnsi="仿宋" w:eastAsia="仿宋" w:cs="仿宋"/>
          <w:sz w:val="24"/>
          <w:szCs w:val="24"/>
          <w:highlight w:val="none"/>
        </w:rPr>
        <w:t>二）本合同一式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份，具有同等的法律效力。</w:t>
      </w:r>
    </w:p>
    <w:p w14:paraId="37063DFA">
      <w:pPr>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（三）本合同如有未尽事宜，甲、乙双方协商解决。</w:t>
      </w:r>
    </w:p>
    <w:p w14:paraId="6231A116">
      <w:pPr>
        <w:keepNext w:val="0"/>
        <w:keepLines w:val="0"/>
        <w:pageBreakBefore w:val="0"/>
        <w:widowControl w:val="0"/>
        <w:shd w:val="clear" w:color="auto" w:fill="auto"/>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rPr>
      </w:pPr>
    </w:p>
    <w:p w14:paraId="0E2D8D24">
      <w:pPr>
        <w:pStyle w:val="6"/>
        <w:rPr>
          <w:rFonts w:hint="eastAsia"/>
          <w:highlight w:val="none"/>
        </w:rPr>
      </w:pPr>
    </w:p>
    <w:p w14:paraId="14A71CDA">
      <w:pPr>
        <w:keepNext w:val="0"/>
        <w:keepLines w:val="0"/>
        <w:pageBreakBefore w:val="0"/>
        <w:widowControl w:val="0"/>
        <w:shd w:val="clear" w:color="auto" w:fill="auto"/>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甲方</w:t>
      </w:r>
      <w:r>
        <w:rPr>
          <w:rFonts w:hint="eastAsia" w:ascii="仿宋" w:hAnsi="仿宋" w:eastAsia="仿宋" w:cs="仿宋"/>
          <w:color w:val="auto"/>
          <w:sz w:val="24"/>
          <w:highlight w:val="none"/>
        </w:rPr>
        <w:t xml:space="preserve">（盖章）：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乙方</w:t>
      </w:r>
      <w:r>
        <w:rPr>
          <w:rFonts w:hint="eastAsia" w:ascii="仿宋" w:hAnsi="仿宋" w:eastAsia="仿宋" w:cs="仿宋"/>
          <w:color w:val="auto"/>
          <w:sz w:val="24"/>
          <w:highlight w:val="none"/>
        </w:rPr>
        <w:t xml:space="preserve">（盖章）：   </w:t>
      </w:r>
    </w:p>
    <w:p w14:paraId="37BD4131">
      <w:pPr>
        <w:keepNext w:val="0"/>
        <w:keepLines w:val="0"/>
        <w:pageBreakBefore w:val="0"/>
        <w:widowControl w:val="0"/>
        <w:shd w:val="clear" w:color="auto" w:fill="auto"/>
        <w:wordWrap/>
        <w:overflowPunct/>
        <w:topLinePunct w:val="0"/>
        <w:autoSpaceDE/>
        <w:autoSpaceDN/>
        <w:bidi w:val="0"/>
        <w:adjustRightInd w:val="0"/>
        <w:snapToGrid w:val="0"/>
        <w:spacing w:line="360" w:lineRule="auto"/>
        <w:ind w:firstLine="475" w:firstLineChars="19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地址：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地址： </w:t>
      </w:r>
      <w:r>
        <w:rPr>
          <w:rFonts w:hint="eastAsia" w:ascii="仿宋" w:hAnsi="仿宋" w:eastAsia="仿宋" w:cs="仿宋"/>
          <w:color w:val="auto"/>
          <w:sz w:val="24"/>
          <w:highlight w:val="none"/>
          <w:u w:val="single"/>
        </w:rPr>
        <w:t xml:space="preserve">                      </w:t>
      </w:r>
    </w:p>
    <w:p w14:paraId="442F9601">
      <w:pPr>
        <w:keepNext w:val="0"/>
        <w:keepLines w:val="0"/>
        <w:pageBreakBefore w:val="0"/>
        <w:widowControl w:val="0"/>
        <w:shd w:val="clear" w:color="auto" w:fill="auto"/>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邮政编码：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邮政编码：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p>
    <w:p w14:paraId="36EFE4C2">
      <w:pPr>
        <w:keepNext w:val="0"/>
        <w:keepLines w:val="0"/>
        <w:pageBreakBefore w:val="0"/>
        <w:widowControl w:val="0"/>
        <w:shd w:val="clear" w:color="auto" w:fill="auto"/>
        <w:wordWrap/>
        <w:overflowPunct/>
        <w:topLinePunct w:val="0"/>
        <w:autoSpaceDE/>
        <w:autoSpaceDN/>
        <w:bidi w:val="0"/>
        <w:adjustRightInd w:val="0"/>
        <w:snapToGrid w:val="0"/>
        <w:spacing w:line="360" w:lineRule="auto"/>
        <w:ind w:firstLine="475" w:firstLineChars="19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                 法定代表人或其授权</w:t>
      </w:r>
    </w:p>
    <w:p w14:paraId="65BAE613">
      <w:pPr>
        <w:keepNext w:val="0"/>
        <w:keepLines w:val="0"/>
        <w:pageBreakBefore w:val="0"/>
        <w:widowControl w:val="0"/>
        <w:shd w:val="clear" w:color="auto" w:fill="auto"/>
        <w:wordWrap/>
        <w:overflowPunct/>
        <w:topLinePunct w:val="0"/>
        <w:autoSpaceDE/>
        <w:autoSpaceDN/>
        <w:bidi w:val="0"/>
        <w:adjustRightInd w:val="0"/>
        <w:snapToGrid w:val="0"/>
        <w:spacing w:line="360" w:lineRule="auto"/>
        <w:ind w:firstLine="475" w:firstLineChars="198"/>
        <w:textAlignment w:val="auto"/>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rPr>
        <w:t>代理人：</w:t>
      </w:r>
      <w:r>
        <w:rPr>
          <w:rFonts w:hint="eastAsia" w:ascii="仿宋" w:hAnsi="仿宋" w:eastAsia="仿宋" w:cs="仿宋"/>
          <w:color w:val="auto"/>
          <w:sz w:val="24"/>
          <w:highlight w:val="none"/>
          <w:u w:val="single"/>
        </w:rPr>
        <w:t xml:space="preserve">（签字）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代理人：</w:t>
      </w:r>
      <w:r>
        <w:rPr>
          <w:rFonts w:hint="eastAsia" w:ascii="仿宋" w:hAnsi="仿宋" w:eastAsia="仿宋" w:cs="仿宋"/>
          <w:color w:val="auto"/>
          <w:sz w:val="24"/>
          <w:highlight w:val="none"/>
          <w:u w:val="single"/>
        </w:rPr>
        <w:t xml:space="preserve">（签字）          </w:t>
      </w:r>
      <w:r>
        <w:rPr>
          <w:rFonts w:hint="eastAsia" w:ascii="仿宋" w:hAnsi="仿宋" w:eastAsia="仿宋" w:cs="仿宋"/>
          <w:color w:val="auto"/>
          <w:sz w:val="24"/>
          <w:highlight w:val="none"/>
          <w:u w:val="single"/>
          <w:lang w:val="en-US" w:eastAsia="zh-CN"/>
        </w:rPr>
        <w:t xml:space="preserve">  </w:t>
      </w:r>
    </w:p>
    <w:p w14:paraId="56273834">
      <w:pPr>
        <w:keepNext w:val="0"/>
        <w:keepLines w:val="0"/>
        <w:pageBreakBefore w:val="0"/>
        <w:widowControl w:val="0"/>
        <w:shd w:val="clear" w:color="auto" w:fill="auto"/>
        <w:wordWrap/>
        <w:overflowPunct/>
        <w:topLinePunct w:val="0"/>
        <w:autoSpaceDE/>
        <w:autoSpaceDN/>
        <w:bidi w:val="0"/>
        <w:adjustRightInd w:val="0"/>
        <w:snapToGrid w:val="0"/>
        <w:spacing w:line="360" w:lineRule="auto"/>
        <w:ind w:firstLine="475" w:firstLineChars="19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开户银行：</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开户银行：</w:t>
      </w:r>
      <w:r>
        <w:rPr>
          <w:rFonts w:hint="eastAsia" w:ascii="仿宋" w:hAnsi="仿宋" w:eastAsia="仿宋" w:cs="仿宋"/>
          <w:color w:val="auto"/>
          <w:sz w:val="24"/>
          <w:highlight w:val="none"/>
          <w:u w:val="single"/>
        </w:rPr>
        <w:t xml:space="preserve">                  </w:t>
      </w:r>
    </w:p>
    <w:p w14:paraId="356DCD44">
      <w:pPr>
        <w:keepNext w:val="0"/>
        <w:keepLines w:val="0"/>
        <w:pageBreakBefore w:val="0"/>
        <w:widowControl w:val="0"/>
        <w:shd w:val="clear" w:color="auto" w:fill="auto"/>
        <w:wordWrap/>
        <w:overflowPunct/>
        <w:topLinePunct w:val="0"/>
        <w:autoSpaceDE/>
        <w:autoSpaceDN/>
        <w:bidi w:val="0"/>
        <w:adjustRightInd w:val="0"/>
        <w:snapToGrid w:val="0"/>
        <w:spacing w:line="360" w:lineRule="auto"/>
        <w:ind w:firstLine="475" w:firstLineChars="19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账号：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账号：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60CCF546">
      <w:pPr>
        <w:keepNext w:val="0"/>
        <w:keepLines w:val="0"/>
        <w:pageBreakBefore w:val="0"/>
        <w:widowControl w:val="0"/>
        <w:shd w:val="clear" w:color="auto" w:fill="auto"/>
        <w:wordWrap/>
        <w:overflowPunct/>
        <w:topLinePunct w:val="0"/>
        <w:autoSpaceDE/>
        <w:autoSpaceDN/>
        <w:bidi w:val="0"/>
        <w:adjustRightInd w:val="0"/>
        <w:snapToGrid w:val="0"/>
        <w:spacing w:line="360" w:lineRule="auto"/>
        <w:ind w:firstLine="475" w:firstLineChars="19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电话：</w:t>
      </w:r>
      <w:r>
        <w:rPr>
          <w:rFonts w:hint="eastAsia" w:ascii="仿宋" w:hAnsi="仿宋" w:eastAsia="仿宋" w:cs="仿宋"/>
          <w:color w:val="auto"/>
          <w:sz w:val="24"/>
          <w:highlight w:val="none"/>
          <w:u w:val="single"/>
        </w:rPr>
        <w:t xml:space="preserve">                       </w:t>
      </w:r>
    </w:p>
    <w:bookmarkEnd w:id="5"/>
    <w:p w14:paraId="1E6C5FD0">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AEB068"/>
    <w:multiLevelType w:val="singleLevel"/>
    <w:tmpl w:val="B9AEB068"/>
    <w:lvl w:ilvl="0" w:tentative="0">
      <w:start w:val="4"/>
      <w:numFmt w:val="chineseCounting"/>
      <w:suff w:val="nothing"/>
      <w:lvlText w:val="%1、"/>
      <w:lvlJc w:val="left"/>
      <w:rPr>
        <w:rFonts w:hint="eastAsia"/>
        <w:b/>
        <w:bCs/>
      </w:rPr>
    </w:lvl>
  </w:abstractNum>
  <w:abstractNum w:abstractNumId="1">
    <w:nsid w:val="43696061"/>
    <w:multiLevelType w:val="singleLevel"/>
    <w:tmpl w:val="43696061"/>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2MzFjZjk4ODEwNjY1YzBmYTJkNGI0YWZlZmUxNmIifQ=="/>
  </w:docVars>
  <w:rsids>
    <w:rsidRoot w:val="54DA7C26"/>
    <w:rsid w:val="05E61F1F"/>
    <w:rsid w:val="09C000DC"/>
    <w:rsid w:val="0B8138B3"/>
    <w:rsid w:val="0BEB51B8"/>
    <w:rsid w:val="0E5B241B"/>
    <w:rsid w:val="12CD1ABC"/>
    <w:rsid w:val="16A47A48"/>
    <w:rsid w:val="16CF7BB0"/>
    <w:rsid w:val="171A4BA4"/>
    <w:rsid w:val="1B0C4C49"/>
    <w:rsid w:val="1C22584B"/>
    <w:rsid w:val="22A412A3"/>
    <w:rsid w:val="26670123"/>
    <w:rsid w:val="268D7140"/>
    <w:rsid w:val="27FA25B3"/>
    <w:rsid w:val="28131C63"/>
    <w:rsid w:val="2D8A6187"/>
    <w:rsid w:val="2FE6169A"/>
    <w:rsid w:val="30A77050"/>
    <w:rsid w:val="31D420C7"/>
    <w:rsid w:val="37166CDE"/>
    <w:rsid w:val="38376F0C"/>
    <w:rsid w:val="3ACB03F5"/>
    <w:rsid w:val="3C990195"/>
    <w:rsid w:val="3D257C7B"/>
    <w:rsid w:val="40061FE5"/>
    <w:rsid w:val="470B1C8F"/>
    <w:rsid w:val="4CA02E7A"/>
    <w:rsid w:val="54DA7C26"/>
    <w:rsid w:val="5A981634"/>
    <w:rsid w:val="5C425CFC"/>
    <w:rsid w:val="5DDD2180"/>
    <w:rsid w:val="5FBB7FEE"/>
    <w:rsid w:val="654C1999"/>
    <w:rsid w:val="65931376"/>
    <w:rsid w:val="66CA0391"/>
    <w:rsid w:val="6942733B"/>
    <w:rsid w:val="6C240F7A"/>
    <w:rsid w:val="6E9D5013"/>
    <w:rsid w:val="76171B4F"/>
    <w:rsid w:val="77B92EBE"/>
    <w:rsid w:val="7A92187A"/>
    <w:rsid w:val="7BBF24AF"/>
    <w:rsid w:val="7C2F41E4"/>
    <w:rsid w:val="7D60025D"/>
    <w:rsid w:val="7D9253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11"/>
    <w:autoRedefine/>
    <w:qFormat/>
    <w:uiPriority w:val="0"/>
    <w:pPr>
      <w:keepNext/>
      <w:keepLines/>
      <w:spacing w:beforeLines="0" w:beforeAutospacing="0" w:afterLines="0" w:afterAutospacing="0" w:line="360" w:lineRule="auto"/>
      <w:jc w:val="center"/>
      <w:outlineLvl w:val="0"/>
    </w:pPr>
    <w:rPr>
      <w:rFonts w:ascii="Times New Roman" w:hAnsi="Times New Roman" w:eastAsia="宋体"/>
      <w:b/>
      <w:kern w:val="44"/>
      <w:sz w:val="32"/>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4">
    <w:name w:val="Normal Indent"/>
    <w:basedOn w:val="1"/>
    <w:next w:val="5"/>
    <w:autoRedefine/>
    <w:qFormat/>
    <w:uiPriority w:val="0"/>
    <w:pPr>
      <w:ind w:firstLine="420"/>
    </w:pPr>
  </w:style>
  <w:style w:type="paragraph" w:styleId="5">
    <w:name w:val="toc 4"/>
    <w:basedOn w:val="1"/>
    <w:next w:val="1"/>
    <w:autoRedefine/>
    <w:qFormat/>
    <w:uiPriority w:val="0"/>
    <w:pPr>
      <w:ind w:left="630"/>
      <w:jc w:val="left"/>
    </w:pPr>
    <w:rPr>
      <w:sz w:val="18"/>
      <w:szCs w:val="18"/>
    </w:rPr>
  </w:style>
  <w:style w:type="paragraph" w:styleId="6">
    <w:name w:val="Body Text"/>
    <w:basedOn w:val="1"/>
    <w:next w:val="1"/>
    <w:qFormat/>
    <w:uiPriority w:val="0"/>
    <w:rPr>
      <w:b/>
      <w:sz w:val="28"/>
    </w:rPr>
  </w:style>
  <w:style w:type="paragraph" w:styleId="7">
    <w:name w:val="HTML Preformatted"/>
    <w:basedOn w:val="1"/>
    <w:autoRedefine/>
    <w:qFormat/>
    <w:uiPriority w:val="0"/>
    <w:rPr>
      <w:rFonts w:ascii="Courier New" w:hAnsi="Courier New"/>
      <w:sz w:val="20"/>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1">
    <w:name w:val="标题 1 字符"/>
    <w:link w:val="3"/>
    <w:autoRedefine/>
    <w:qFormat/>
    <w:uiPriority w:val="0"/>
    <w:rPr>
      <w:rFonts w:ascii="Times New Roman" w:hAnsi="Times New Roman" w:eastAsia="宋体"/>
      <w:b/>
      <w:kern w:val="44"/>
      <w:sz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2627</Words>
  <Characters>2667</Characters>
  <Lines>0</Lines>
  <Paragraphs>0</Paragraphs>
  <TotalTime>14</TotalTime>
  <ScaleCrop>false</ScaleCrop>
  <LinksUpToDate>false</LinksUpToDate>
  <CharactersWithSpaces>3132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2024-11-04T06:38:00Z</dcterms:created>
  <dc:creator>李居岸</dc:creator>
  <cp:lastModifiedBy>李居岸</cp:lastModifiedBy>
  <dcterms:modified xsi:type="dcterms:W3CDTF">2026-03-02T03:26:33Z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AF7C9EFEE5234652B0E68F9D5208BC4F_11</vt:lpwstr>
  </property>
  <property fmtid="{D5CDD505-2E9C-101B-9397-08002B2CF9AE}" pid="4" name="KSOTemplateDocerSaveRecord">
    <vt:lpwstr>eyJoZGlkIjoiNzllZDEwZDM2Nzg2M2VhZWNlOTNlZmM3MTg5YTJlNTciLCJ1c2VySWQiOiIxNDY1ODM3MjEyIn0=</vt:lpwstr>
  </property>
</Properties>
</file>