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版本号：ZZDY-2026-00320260309001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蓝田县公安局2026年车辆保险项目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ZZDY-2026-003</w:t>
      </w:r>
      <w:r>
        <w:br/>
      </w:r>
      <w:r>
        <w:br/>
      </w:r>
      <w:r>
        <w:br/>
      </w:r>
    </w:p>
    <w:p>
      <w:pPr>
        <w:pStyle w:val="null3"/>
        <w:jc w:val="center"/>
        <w:outlineLvl w:val="2"/>
      </w:pPr>
      <w:r>
        <w:rPr>
          <w:rFonts w:ascii="仿宋_GB2312" w:hAnsi="仿宋_GB2312" w:cs="仿宋_GB2312" w:eastAsia="仿宋_GB2312"/>
          <w:sz w:val="28"/>
          <w:b/>
        </w:rPr>
        <w:t>西安市蓝田县公安局（本级）</w:t>
      </w:r>
    </w:p>
    <w:p>
      <w:pPr>
        <w:pStyle w:val="null3"/>
        <w:jc w:val="center"/>
        <w:outlineLvl w:val="2"/>
      </w:pPr>
      <w:r>
        <w:rPr>
          <w:rFonts w:ascii="仿宋_GB2312" w:hAnsi="仿宋_GB2312" w:cs="仿宋_GB2312" w:eastAsia="仿宋_GB2312"/>
          <w:sz w:val="28"/>
          <w:b/>
        </w:rPr>
        <w:t>陕西中正鼎裕项目管理有限公司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陕西中正鼎裕项目管理有限公司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西安市蓝田县公安局（本级）</w:t>
      </w:r>
      <w:r>
        <w:rPr>
          <w:rFonts w:ascii="仿宋_GB2312" w:hAnsi="仿宋_GB2312" w:cs="仿宋_GB2312" w:eastAsia="仿宋_GB2312"/>
        </w:rPr>
        <w:t>委托，拟对</w:t>
      </w:r>
      <w:r>
        <w:rPr>
          <w:rFonts w:ascii="仿宋_GB2312" w:hAnsi="仿宋_GB2312" w:cs="仿宋_GB2312" w:eastAsia="仿宋_GB2312"/>
        </w:rPr>
        <w:t>蓝田县公安局2026年车辆保险项目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ZZDY-2026-003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蓝田县公安局2026年车辆保险项目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蓝田县公安局2025年车辆保险项目，采购内容为1、车辆数量：蓝田公安局各共计143辆公务车辆，其中：小型客车/轿车52辆，小型混动客车/轿车31辆，中大型客车11辆，小型混动SUV/MPV38辆，小型货车11辆；2、险种包括：(1)交强险(车船税)。(2)商业险:包括车损险、第三责任险200万元、医保外医疗费用责任险、车上人员责任险驾驶员保额5万元/人、车上人员责任险(乘客)保额5万/人。不计免赔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1、提供投标人合法注册的法人或其他组织的营业执照等证明文件或自然人的身份证明：提供投标人合法注册的法人或其他组织的营业执照等证明文件或自然人的身份证明；</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5、具有履行本合同所必需的设备和专业技术能力的说明及承诺：提供具有履行本合同所必需的设备和专业技术能力的说明（提供书面说明，加盖供应商公章）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经营机动车辆保险业务资格：供应商必须具有经营机动车辆保险业务资格，提供有效期内的中国保监会依法颁发的《经营保险业务许可证》（旧证），或中国银保监会及其授权的派出机构依法颁发的《保险许可证》（新证，2021年7月1日起），（总公司只允许授权1家分支机构参与磋商，且不能与分支机构同时参与）</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代理机构开标当天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西安市蓝田县公安局（本级）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蓝田县孝泉路8号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郭江鹏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029-82728999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陕西中正鼎裕项目管理有限公司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西安市高新区科技路48号创业广场B座1506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吕秋洋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17691005085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采购包1：448,800.00元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代理服务费收费标准：本次招标的招标代理服务费收取参照国家计委计价格[2002]1980 号文、国家发改办价格[2003]857 号文和国家发改办价格[2011]534 号文件；由中标供应商再领取中标通知书前一次性支付。 银行户名：陕西中正鼎裕项目管理有限公司 开户银行：兴业银行股份有限公司西安分行营业部 账号：456010100100956535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西安市蓝田县公安局（本级）</w:t>
      </w:r>
      <w:r>
        <w:rPr>
          <w:rFonts w:ascii="仿宋_GB2312" w:hAnsi="仿宋_GB2312" w:cs="仿宋_GB2312" w:eastAsia="仿宋_GB2312"/>
        </w:rPr>
        <w:t>和</w:t>
      </w:r>
      <w:r>
        <w:rPr>
          <w:rFonts w:ascii="仿宋_GB2312" w:hAnsi="仿宋_GB2312" w:cs="仿宋_GB2312" w:eastAsia="仿宋_GB2312"/>
        </w:rPr>
        <w:t>陕西中正鼎裕项目管理有限公司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西安市蓝田县公安局（本级）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陕西中正鼎裕项目管理有限公司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西安市蓝田县公安局（本级）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陕西中正鼎裕项目管理有限公司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（1）关于公布保险理赔（给付）程序 进一步做好理赔服务工作的通知-保监发〔2008〕100号 （2）关于进一步改进交强险理赔服务质量的通知-保监发[2008]80号 （3）关于印发《中国保监会关于进一步规范财产保险市场秩序工作方案》的通知-保监发〔2008〕70号 （4）中国保险监督管理委员会关于加强交强险管理有关工作的通知-保监发〔2006〕107号 （5）关于公布保险理赔（给付）程序进一步做好理赔服务工作的通知-保监发〔2008〕100号</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联系人：吕秋洋</w:t>
      </w:r>
    </w:p>
    <w:p>
      <w:pPr>
        <w:pStyle w:val="null3"/>
      </w:pPr>
      <w:r>
        <w:rPr>
          <w:rFonts w:ascii="仿宋_GB2312" w:hAnsi="仿宋_GB2312" w:cs="仿宋_GB2312" w:eastAsia="仿宋_GB2312"/>
        </w:rPr>
        <w:t>联系电话：17691005085</w:t>
      </w:r>
    </w:p>
    <w:p>
      <w:pPr>
        <w:pStyle w:val="null3"/>
      </w:pPr>
      <w:r>
        <w:rPr>
          <w:rFonts w:ascii="仿宋_GB2312" w:hAnsi="仿宋_GB2312" w:cs="仿宋_GB2312" w:eastAsia="仿宋_GB2312"/>
        </w:rPr>
        <w:t>地址：西安市高新区科技路48号创业广场B座1506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蓝田公安局为143辆公务车辆购买统一保险，包括：(1)交强险(车船税)。(2)商业险:包括车损险、第三责任险200万元、医保外医疗费用责任险、车上人员责任险驾驶员保额5万元/人、车上人员责任险(乘客)保额5万/人。不计免赔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448,800.00</w:t>
      </w:r>
    </w:p>
    <w:p>
      <w:pPr>
        <w:pStyle w:val="null3"/>
      </w:pPr>
      <w:r>
        <w:rPr>
          <w:rFonts w:ascii="仿宋_GB2312" w:hAnsi="仿宋_GB2312" w:cs="仿宋_GB2312" w:eastAsia="仿宋_GB2312"/>
        </w:rPr>
        <w:t>采购包最高限价（元）: 448,800.00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蓝田县公安局2026年车辆保险项目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448,800.00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标的名称：蓝田县公安局2026年车辆保险项目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spacing w:after="120"/>
              <w:jc w:val="both"/>
            </w:pPr>
            <w:r>
              <w:rPr>
                <w:rFonts w:ascii="仿宋_GB2312" w:hAnsi="仿宋_GB2312" w:cs="仿宋_GB2312" w:eastAsia="仿宋_GB2312"/>
                <w:sz w:val="28"/>
              </w:rPr>
              <w:t>项目名称：蓝田县公安局</w:t>
            </w:r>
            <w:r>
              <w:rPr>
                <w:rFonts w:ascii="仿宋_GB2312" w:hAnsi="仿宋_GB2312" w:cs="仿宋_GB2312" w:eastAsia="仿宋_GB2312"/>
                <w:sz w:val="28"/>
              </w:rPr>
              <w:t>2026年车辆保险项目</w:t>
            </w:r>
          </w:p>
          <w:p>
            <w:pPr>
              <w:pStyle w:val="null3"/>
              <w:spacing w:after="120"/>
              <w:ind w:firstLine="280"/>
              <w:jc w:val="both"/>
            </w:pPr>
            <w:r>
              <w:rPr>
                <w:rFonts w:ascii="仿宋_GB2312" w:hAnsi="仿宋_GB2312" w:cs="仿宋_GB2312" w:eastAsia="仿宋_GB2312"/>
                <w:sz w:val="28"/>
              </w:rPr>
              <w:t>二、采购预算：</w:t>
            </w:r>
            <w:r>
              <w:rPr>
                <w:rFonts w:ascii="仿宋_GB2312" w:hAnsi="仿宋_GB2312" w:cs="仿宋_GB2312" w:eastAsia="仿宋_GB2312"/>
                <w:sz w:val="28"/>
              </w:rPr>
              <w:t>44.88</w:t>
            </w:r>
            <w:r>
              <w:rPr>
                <w:rFonts w:ascii="仿宋_GB2312" w:hAnsi="仿宋_GB2312" w:cs="仿宋_GB2312" w:eastAsia="仿宋_GB2312"/>
                <w:sz w:val="28"/>
              </w:rPr>
              <w:t>万元</w:t>
            </w:r>
          </w:p>
          <w:p>
            <w:pPr>
              <w:pStyle w:val="null3"/>
              <w:spacing w:after="120"/>
              <w:ind w:left="2235"/>
              <w:jc w:val="both"/>
            </w:pPr>
            <w:r>
              <w:rPr>
                <w:rFonts w:ascii="仿宋_GB2312" w:hAnsi="仿宋_GB2312" w:cs="仿宋_GB2312" w:eastAsia="仿宋_GB2312"/>
                <w:sz w:val="28"/>
              </w:rPr>
              <w:t>三、采购需求：蓝田县公安局</w:t>
            </w:r>
            <w:r>
              <w:rPr>
                <w:rFonts w:ascii="仿宋_GB2312" w:hAnsi="仿宋_GB2312" w:cs="仿宋_GB2312" w:eastAsia="仿宋_GB2312"/>
                <w:sz w:val="28"/>
              </w:rPr>
              <w:t>2025年车辆保险项目，采购内容为</w:t>
            </w:r>
          </w:p>
          <w:p>
            <w:pPr>
              <w:pStyle w:val="null3"/>
              <w:ind w:firstLine="560"/>
              <w:jc w:val="both"/>
            </w:pPr>
            <w:r>
              <w:rPr>
                <w:rFonts w:ascii="仿宋_GB2312" w:hAnsi="仿宋_GB2312" w:cs="仿宋_GB2312" w:eastAsia="仿宋_GB2312"/>
                <w:sz w:val="28"/>
              </w:rPr>
              <w:t>1、车辆数量：</w:t>
            </w:r>
            <w:r>
              <w:rPr>
                <w:rFonts w:ascii="仿宋_GB2312" w:hAnsi="仿宋_GB2312" w:cs="仿宋_GB2312" w:eastAsia="仿宋_GB2312"/>
                <w:sz w:val="28"/>
              </w:rPr>
              <w:t>蓝田公安</w:t>
            </w:r>
            <w:r>
              <w:rPr>
                <w:rFonts w:ascii="仿宋_GB2312" w:hAnsi="仿宋_GB2312" w:cs="仿宋_GB2312" w:eastAsia="仿宋_GB2312"/>
                <w:sz w:val="28"/>
              </w:rPr>
              <w:t>局</w:t>
            </w:r>
            <w:r>
              <w:rPr>
                <w:rFonts w:ascii="仿宋_GB2312" w:hAnsi="仿宋_GB2312" w:cs="仿宋_GB2312" w:eastAsia="仿宋_GB2312"/>
                <w:sz w:val="28"/>
              </w:rPr>
              <w:t>各共计</w:t>
            </w:r>
            <w:r>
              <w:rPr>
                <w:rFonts w:ascii="仿宋_GB2312" w:hAnsi="仿宋_GB2312" w:cs="仿宋_GB2312" w:eastAsia="仿宋_GB2312"/>
                <w:sz w:val="28"/>
              </w:rPr>
              <w:t>143辆公务车辆</w:t>
            </w:r>
            <w:r>
              <w:rPr>
                <w:rFonts w:ascii="仿宋_GB2312" w:hAnsi="仿宋_GB2312" w:cs="仿宋_GB2312" w:eastAsia="仿宋_GB2312"/>
                <w:sz w:val="28"/>
              </w:rPr>
              <w:t>，</w:t>
            </w:r>
            <w:r>
              <w:rPr>
                <w:rFonts w:ascii="仿宋_GB2312" w:hAnsi="仿宋_GB2312" w:cs="仿宋_GB2312" w:eastAsia="仿宋_GB2312"/>
                <w:sz w:val="28"/>
              </w:rPr>
              <w:t>其中：小型客车</w:t>
            </w:r>
            <w:r>
              <w:rPr>
                <w:rFonts w:ascii="仿宋_GB2312" w:hAnsi="仿宋_GB2312" w:cs="仿宋_GB2312" w:eastAsia="仿宋_GB2312"/>
                <w:sz w:val="28"/>
              </w:rPr>
              <w:t>/轿车52辆，小型混动客车/轿车31辆，中大型客车11辆，小型混动SUV/MPV38辆，小型货车11辆；2、险种</w:t>
            </w:r>
            <w:r>
              <w:rPr>
                <w:rFonts w:ascii="仿宋_GB2312" w:hAnsi="仿宋_GB2312" w:cs="仿宋_GB2312" w:eastAsia="仿宋_GB2312"/>
                <w:sz w:val="28"/>
              </w:rPr>
              <w:t>包括：</w:t>
            </w:r>
            <w:r>
              <w:rPr>
                <w:rFonts w:ascii="仿宋_GB2312" w:hAnsi="仿宋_GB2312" w:cs="仿宋_GB2312" w:eastAsia="仿宋_GB2312"/>
                <w:sz w:val="28"/>
              </w:rPr>
              <w:t>(1)交强险(车船税)。(2)商业险:包括车损险、第三责任险200</w:t>
            </w:r>
            <w:r>
              <w:rPr>
                <w:rFonts w:ascii="仿宋_GB2312" w:hAnsi="仿宋_GB2312" w:cs="仿宋_GB2312" w:eastAsia="仿宋_GB2312"/>
                <w:sz w:val="28"/>
              </w:rPr>
              <w:t>万元</w:t>
            </w:r>
            <w:r>
              <w:rPr>
                <w:rFonts w:ascii="仿宋_GB2312" w:hAnsi="仿宋_GB2312" w:cs="仿宋_GB2312" w:eastAsia="仿宋_GB2312"/>
                <w:sz w:val="28"/>
              </w:rPr>
              <w:t>、医保外医疗费用责任险、车上人员责任险驾驶员保额</w:t>
            </w:r>
            <w:r>
              <w:rPr>
                <w:rFonts w:ascii="仿宋_GB2312" w:hAnsi="仿宋_GB2312" w:cs="仿宋_GB2312" w:eastAsia="仿宋_GB2312"/>
                <w:sz w:val="28"/>
              </w:rPr>
              <w:t>5</w:t>
            </w:r>
            <w:r>
              <w:rPr>
                <w:rFonts w:ascii="仿宋_GB2312" w:hAnsi="仿宋_GB2312" w:cs="仿宋_GB2312" w:eastAsia="仿宋_GB2312"/>
                <w:sz w:val="28"/>
              </w:rPr>
              <w:t>万元</w:t>
            </w:r>
            <w:r>
              <w:rPr>
                <w:rFonts w:ascii="仿宋_GB2312" w:hAnsi="仿宋_GB2312" w:cs="仿宋_GB2312" w:eastAsia="仿宋_GB2312"/>
                <w:sz w:val="28"/>
              </w:rPr>
              <w:t>/人、车上人员责任险(乘客)保额5万/人。不计免赔险。（注：</w:t>
            </w:r>
            <w:r>
              <w:rPr>
                <w:rFonts w:ascii="仿宋_GB2312" w:hAnsi="仿宋_GB2312" w:cs="仿宋_GB2312" w:eastAsia="仿宋_GB2312"/>
                <w:sz w:val="21"/>
              </w:rPr>
              <w:t>因本项目为警务用车，部分车牌不宜公开，具体车型车号以实际发生的为准。</w:t>
            </w:r>
            <w:r>
              <w:rPr>
                <w:rFonts w:ascii="仿宋_GB2312" w:hAnsi="仿宋_GB2312" w:cs="仿宋_GB2312" w:eastAsia="仿宋_GB2312"/>
                <w:sz w:val="28"/>
              </w:rPr>
              <w:t>）</w:t>
            </w:r>
          </w:p>
          <w:p>
            <w:pPr>
              <w:pStyle w:val="null3"/>
              <w:numPr>
                <w:ilvl w:val="0"/>
                <w:numId w:val="1"/>
              </w:numPr>
              <w:spacing w:after="120"/>
              <w:jc w:val="both"/>
            </w:pPr>
            <w:r>
              <w:rPr>
                <w:rFonts w:ascii="仿宋_GB2312" w:hAnsi="仿宋_GB2312" w:cs="仿宋_GB2312" w:eastAsia="仿宋_GB2312"/>
                <w:sz w:val="28"/>
              </w:rPr>
              <w:t>服务内容</w:t>
            </w:r>
            <w:r>
              <w:rPr>
                <w:rFonts w:ascii="仿宋_GB2312" w:hAnsi="仿宋_GB2312" w:cs="仿宋_GB2312" w:eastAsia="仿宋_GB2312"/>
                <w:sz w:val="28"/>
              </w:rPr>
              <w:t>：</w:t>
            </w:r>
            <w:r>
              <w:rPr>
                <w:rFonts w:ascii="仿宋_GB2312" w:hAnsi="仿宋_GB2312" w:cs="仿宋_GB2312" w:eastAsia="仿宋_GB2312"/>
                <w:sz w:val="28"/>
              </w:rPr>
              <w:t>投标供应商须对投保对象所有保险事故提供转报案</w:t>
            </w:r>
            <w:r>
              <w:rPr>
                <w:rFonts w:ascii="仿宋_GB2312" w:hAnsi="仿宋_GB2312" w:cs="仿宋_GB2312" w:eastAsia="仿宋_GB2312"/>
                <w:sz w:val="28"/>
              </w:rPr>
              <w:t>和咨询服务。包括现场勘查、全国性专线服务、定责定损、预付赔款、保险赔偿等服务。</w:t>
            </w:r>
          </w:p>
          <w:p>
            <w:pPr>
              <w:pStyle w:val="null3"/>
              <w:numPr>
                <w:ilvl w:val="0"/>
                <w:numId w:val="1"/>
              </w:numPr>
              <w:spacing w:after="120"/>
              <w:jc w:val="both"/>
            </w:pPr>
            <w:r>
              <w:rPr>
                <w:rFonts w:ascii="仿宋_GB2312" w:hAnsi="仿宋_GB2312" w:cs="仿宋_GB2312" w:eastAsia="仿宋_GB2312"/>
                <w:sz w:val="28"/>
              </w:rPr>
              <w:t>技术要求</w:t>
            </w:r>
          </w:p>
          <w:p>
            <w:pPr>
              <w:pStyle w:val="null3"/>
              <w:spacing w:after="120"/>
              <w:ind w:firstLine="420"/>
              <w:jc w:val="both"/>
            </w:pPr>
            <w:r>
              <w:rPr>
                <w:rFonts w:ascii="仿宋_GB2312" w:hAnsi="仿宋_GB2312" w:cs="仿宋_GB2312" w:eastAsia="仿宋_GB2312"/>
                <w:sz w:val="24"/>
              </w:rPr>
              <w:t xml:space="preserve">  </w:t>
            </w:r>
            <w:r>
              <w:rPr>
                <w:rFonts w:ascii="仿宋_GB2312" w:hAnsi="仿宋_GB2312" w:cs="仿宋_GB2312" w:eastAsia="仿宋_GB2312"/>
                <w:sz w:val="28"/>
              </w:rPr>
              <w:t>(一)现场勘查时限</w:t>
            </w:r>
          </w:p>
          <w:p>
            <w:pPr>
              <w:pStyle w:val="null3"/>
              <w:spacing w:after="120"/>
              <w:ind w:firstLine="560"/>
              <w:jc w:val="both"/>
            </w:pPr>
            <w:r>
              <w:rPr>
                <w:rFonts w:ascii="仿宋_GB2312" w:hAnsi="仿宋_GB2312" w:cs="仿宋_GB2312" w:eastAsia="仿宋_GB2312"/>
                <w:sz w:val="28"/>
              </w:rPr>
              <w:t>接到我方报案电话</w:t>
            </w:r>
            <w:r>
              <w:rPr>
                <w:rFonts w:ascii="仿宋_GB2312" w:hAnsi="仿宋_GB2312" w:cs="仿宋_GB2312" w:eastAsia="仿宋_GB2312"/>
                <w:sz w:val="28"/>
              </w:rPr>
              <w:t>:</w:t>
            </w:r>
          </w:p>
          <w:p>
            <w:pPr>
              <w:pStyle w:val="null3"/>
              <w:spacing w:after="120"/>
              <w:ind w:firstLine="560"/>
              <w:jc w:val="both"/>
            </w:pPr>
            <w:r>
              <w:rPr>
                <w:rFonts w:ascii="仿宋_GB2312" w:hAnsi="仿宋_GB2312" w:cs="仿宋_GB2312" w:eastAsia="仿宋_GB2312"/>
                <w:sz w:val="28"/>
              </w:rPr>
              <w:t>1.出险地点在西安市内的，理赔人员30分钟内赶到事故现场。</w:t>
            </w:r>
          </w:p>
          <w:p>
            <w:pPr>
              <w:pStyle w:val="null3"/>
              <w:spacing w:after="120"/>
              <w:ind w:firstLine="560"/>
              <w:jc w:val="both"/>
            </w:pPr>
            <w:r>
              <w:rPr>
                <w:rFonts w:ascii="仿宋_GB2312" w:hAnsi="仿宋_GB2312" w:cs="仿宋_GB2312" w:eastAsia="仿宋_GB2312"/>
                <w:sz w:val="28"/>
              </w:rPr>
              <w:t>2.出险地点在西安市外陕西省内，理赔人员在1-2小时内赶到现场或委托当地保险公司代勘查，当地保险公司按规定的时间到达。</w:t>
            </w:r>
          </w:p>
          <w:p>
            <w:pPr>
              <w:pStyle w:val="null3"/>
              <w:spacing w:after="120"/>
              <w:ind w:firstLine="560"/>
              <w:jc w:val="both"/>
            </w:pPr>
            <w:r>
              <w:rPr>
                <w:rFonts w:ascii="仿宋_GB2312" w:hAnsi="仿宋_GB2312" w:cs="仿宋_GB2312" w:eastAsia="仿宋_GB2312"/>
                <w:sz w:val="28"/>
              </w:rPr>
              <w:t>3.出险地点在陕西省外，理赔人员24小时内赶到现场或委托当地保险公司代勘查，当地保险公司按规定的时间到达。</w:t>
            </w:r>
          </w:p>
          <w:p>
            <w:pPr>
              <w:pStyle w:val="null3"/>
              <w:spacing w:after="120"/>
              <w:ind w:firstLine="560"/>
              <w:jc w:val="both"/>
            </w:pPr>
            <w:r>
              <w:rPr>
                <w:rFonts w:ascii="仿宋_GB2312" w:hAnsi="仿宋_GB2312" w:cs="仿宋_GB2312" w:eastAsia="仿宋_GB2312"/>
                <w:sz w:val="28"/>
              </w:rPr>
              <w:t>4.如因特殊情况不能及时到达第一现场，第二现场到达率保证达到100%。</w:t>
            </w:r>
          </w:p>
          <w:p>
            <w:pPr>
              <w:pStyle w:val="null3"/>
              <w:spacing w:after="120"/>
              <w:ind w:firstLine="560"/>
              <w:jc w:val="both"/>
            </w:pPr>
            <w:r>
              <w:rPr>
                <w:rFonts w:ascii="仿宋_GB2312" w:hAnsi="仿宋_GB2312" w:cs="仿宋_GB2312" w:eastAsia="仿宋_GB2312"/>
                <w:sz w:val="28"/>
              </w:rPr>
              <w:t>5.因部队执勤、处突等特殊情况，事故车辆可提前撤离事故现场，乙方应依据当地交警部门出具的现场取证和车辆交通事故责任认定书进行理赔。</w:t>
            </w:r>
          </w:p>
          <w:p>
            <w:pPr>
              <w:pStyle w:val="null3"/>
              <w:spacing w:after="120"/>
              <w:ind w:firstLine="560"/>
              <w:jc w:val="both"/>
            </w:pPr>
            <w:r>
              <w:rPr>
                <w:rFonts w:ascii="仿宋_GB2312" w:hAnsi="仿宋_GB2312" w:cs="仿宋_GB2312" w:eastAsia="仿宋_GB2312"/>
                <w:sz w:val="28"/>
              </w:rPr>
              <w:t>(二)提供全国性专线服务，全天候受理机动车辆出险、报案、查勘、定损。并保障24小时免费救援。</w:t>
            </w:r>
          </w:p>
          <w:p>
            <w:pPr>
              <w:pStyle w:val="null3"/>
              <w:spacing w:after="120"/>
              <w:ind w:firstLine="560"/>
              <w:jc w:val="both"/>
            </w:pPr>
            <w:r>
              <w:rPr>
                <w:rFonts w:ascii="仿宋_GB2312" w:hAnsi="仿宋_GB2312" w:cs="仿宋_GB2312" w:eastAsia="仿宋_GB2312"/>
                <w:sz w:val="28"/>
              </w:rPr>
              <w:t>(三)定责定损时限</w:t>
            </w:r>
          </w:p>
          <w:p>
            <w:pPr>
              <w:pStyle w:val="null3"/>
              <w:spacing w:after="120"/>
              <w:ind w:firstLine="560"/>
              <w:jc w:val="both"/>
            </w:pPr>
            <w:r>
              <w:rPr>
                <w:rFonts w:ascii="仿宋_GB2312" w:hAnsi="仿宋_GB2312" w:cs="仿宋_GB2312" w:eastAsia="仿宋_GB2312"/>
                <w:sz w:val="28"/>
              </w:rPr>
              <w:t>投标方接到采购人报案后，对于属于保险责任的事故，估计损失金额</w:t>
            </w:r>
            <w:r>
              <w:rPr>
                <w:rFonts w:ascii="仿宋_GB2312" w:hAnsi="仿宋_GB2312" w:cs="仿宋_GB2312" w:eastAsia="仿宋_GB2312"/>
                <w:sz w:val="28"/>
              </w:rPr>
              <w:t>10000元以下的，定损时限在1个工作日估损金额在10000-30000(含30000元)元以下的，定损时限2个工作目:估损金额在30000元以上的，定损时限3个工作日。</w:t>
            </w:r>
          </w:p>
          <w:p>
            <w:pPr>
              <w:pStyle w:val="null3"/>
              <w:spacing w:after="120"/>
              <w:ind w:firstLine="560"/>
              <w:jc w:val="both"/>
            </w:pPr>
            <w:r>
              <w:rPr>
                <w:rFonts w:ascii="仿宋_GB2312" w:hAnsi="仿宋_GB2312" w:cs="仿宋_GB2312" w:eastAsia="仿宋_GB2312"/>
                <w:sz w:val="28"/>
              </w:rPr>
              <w:t>(四)预付赔款</w:t>
            </w:r>
          </w:p>
          <w:p>
            <w:pPr>
              <w:pStyle w:val="null3"/>
              <w:spacing w:after="120"/>
              <w:ind w:firstLine="560"/>
              <w:jc w:val="both"/>
            </w:pPr>
            <w:r>
              <w:rPr>
                <w:rFonts w:ascii="仿宋_GB2312" w:hAnsi="仿宋_GB2312" w:cs="仿宋_GB2312" w:eastAsia="仿宋_GB2312"/>
                <w:sz w:val="28"/>
              </w:rPr>
              <w:t>采购人机动车出现重大交通事故，在事故发生</w:t>
            </w:r>
            <w:r>
              <w:rPr>
                <w:rFonts w:ascii="仿宋_GB2312" w:hAnsi="仿宋_GB2312" w:cs="仿宋_GB2312" w:eastAsia="仿宋_GB2312"/>
                <w:sz w:val="28"/>
              </w:rPr>
              <w:t>2个工作日内投标方应预付保险损失金额100%的赔款，确保出险车辆和人员迅速得到施救，将保险损失降到最低点。对保险责任范围内的事故，必要时可及时提供救助费用。</w:t>
            </w:r>
          </w:p>
          <w:p>
            <w:pPr>
              <w:pStyle w:val="null3"/>
              <w:spacing w:after="120"/>
              <w:ind w:firstLine="560"/>
              <w:jc w:val="both"/>
            </w:pPr>
            <w:r>
              <w:rPr>
                <w:rFonts w:ascii="仿宋_GB2312" w:hAnsi="仿宋_GB2312" w:cs="仿宋_GB2312" w:eastAsia="仿宋_GB2312"/>
                <w:sz w:val="28"/>
              </w:rPr>
              <w:t>(五)结案时限</w:t>
            </w:r>
          </w:p>
          <w:p>
            <w:pPr>
              <w:pStyle w:val="null3"/>
              <w:spacing w:after="120"/>
              <w:ind w:firstLine="560"/>
              <w:jc w:val="both"/>
            </w:pPr>
            <w:r>
              <w:rPr>
                <w:rFonts w:ascii="仿宋_GB2312" w:hAnsi="仿宋_GB2312" w:cs="仿宋_GB2312" w:eastAsia="仿宋_GB2312"/>
                <w:sz w:val="28"/>
              </w:rPr>
              <w:t>在理赔过程中，理赔方与采购人安全保障科协商，合理定损，然后具体办理赔付事宜。在收到采购人索赔的单证齐全，手续完备，双方达成共识后，结案时限按照案件发生金额大小来确定</w:t>
            </w:r>
            <w:r>
              <w:rPr>
                <w:rFonts w:ascii="仿宋_GB2312" w:hAnsi="仿宋_GB2312" w:cs="仿宋_GB2312" w:eastAsia="仿宋_GB2312"/>
                <w:sz w:val="28"/>
              </w:rPr>
              <w:t>:</w:t>
            </w:r>
          </w:p>
          <w:p>
            <w:pPr>
              <w:pStyle w:val="null3"/>
              <w:spacing w:after="120"/>
              <w:ind w:firstLine="560"/>
              <w:jc w:val="both"/>
            </w:pPr>
            <w:r>
              <w:rPr>
                <w:rFonts w:ascii="仿宋_GB2312" w:hAnsi="仿宋_GB2312" w:cs="仿宋_GB2312" w:eastAsia="仿宋_GB2312"/>
                <w:sz w:val="28"/>
              </w:rPr>
              <w:t>1、赔偿金额在3000元以内的赔案，投标方在收到采购人提供索赔单证齐全之日起，保证一个工作日赔付结案，并将赔款送达。</w:t>
            </w:r>
          </w:p>
          <w:p>
            <w:pPr>
              <w:pStyle w:val="null3"/>
              <w:spacing w:after="120"/>
              <w:ind w:firstLine="560"/>
              <w:jc w:val="both"/>
            </w:pPr>
            <w:r>
              <w:rPr>
                <w:rFonts w:ascii="仿宋_GB2312" w:hAnsi="仿宋_GB2312" w:cs="仿宋_GB2312" w:eastAsia="仿宋_GB2312"/>
                <w:sz w:val="28"/>
              </w:rPr>
              <w:t>2、3000元-30000元，在2个工作日内赔付结案，并将赔款送达。</w:t>
            </w:r>
          </w:p>
          <w:p>
            <w:pPr>
              <w:pStyle w:val="null3"/>
              <w:spacing w:after="120"/>
              <w:ind w:firstLine="560"/>
              <w:jc w:val="both"/>
            </w:pPr>
            <w:r>
              <w:rPr>
                <w:rFonts w:ascii="仿宋_GB2312" w:hAnsi="仿宋_GB2312" w:cs="仿宋_GB2312" w:eastAsia="仿宋_GB2312"/>
                <w:sz w:val="28"/>
              </w:rPr>
              <w:t>3、30000元-100000元，在3个工作日内结案:并将赔款送达。</w:t>
            </w:r>
          </w:p>
          <w:p>
            <w:pPr>
              <w:pStyle w:val="null3"/>
              <w:spacing w:after="120"/>
              <w:ind w:firstLine="560"/>
              <w:jc w:val="both"/>
            </w:pPr>
            <w:r>
              <w:rPr>
                <w:rFonts w:ascii="仿宋_GB2312" w:hAnsi="仿宋_GB2312" w:cs="仿宋_GB2312" w:eastAsia="仿宋_GB2312"/>
                <w:sz w:val="28"/>
              </w:rPr>
              <w:t>4、100000元以上的赔案，在8个工作日内结案，并将赔款送达。</w:t>
            </w:r>
          </w:p>
          <w:p>
            <w:pPr>
              <w:pStyle w:val="null3"/>
              <w:spacing w:after="120"/>
              <w:ind w:firstLine="560"/>
              <w:jc w:val="both"/>
            </w:pPr>
            <w:r>
              <w:rPr>
                <w:rFonts w:ascii="仿宋_GB2312" w:hAnsi="仿宋_GB2312" w:cs="仿宋_GB2312" w:eastAsia="仿宋_GB2312"/>
                <w:sz w:val="28"/>
              </w:rPr>
              <w:t>(六)赔款支付时限及结案方式</w:t>
            </w:r>
          </w:p>
          <w:p>
            <w:pPr>
              <w:pStyle w:val="null3"/>
              <w:spacing w:after="120"/>
              <w:ind w:firstLine="560"/>
              <w:jc w:val="both"/>
            </w:pPr>
            <w:r>
              <w:rPr>
                <w:rFonts w:ascii="仿宋_GB2312" w:hAnsi="仿宋_GB2312" w:cs="仿宋_GB2312" w:eastAsia="仿宋_GB2312"/>
                <w:sz w:val="28"/>
              </w:rPr>
              <w:t>所有赔款均在结案当日支付并报安全保障科备案</w:t>
            </w:r>
            <w:r>
              <w:rPr>
                <w:rFonts w:ascii="仿宋_GB2312" w:hAnsi="仿宋_GB2312" w:cs="仿宋_GB2312" w:eastAsia="仿宋_GB2312"/>
                <w:sz w:val="28"/>
              </w:rPr>
              <w:t>:赔款结付方式根据采购人的要求,采取直接支付方式凡发生碰撞事故的车辆，如事故双方均在乙方所在的同一机构投保，经保险人查勘定损后，如不涉及人员伤亡和互碰车辆以外的财产损失，无需交管部门的调处和事故证明，甲方直接向乙方索赔即可。</w:t>
            </w:r>
          </w:p>
          <w:p>
            <w:pPr>
              <w:pStyle w:val="null3"/>
              <w:spacing w:after="120"/>
              <w:ind w:firstLine="560"/>
              <w:jc w:val="both"/>
            </w:pPr>
            <w:r>
              <w:rPr>
                <w:rFonts w:ascii="仿宋_GB2312" w:hAnsi="仿宋_GB2312" w:cs="仿宋_GB2312" w:eastAsia="仿宋_GB2312"/>
                <w:sz w:val="28"/>
              </w:rPr>
              <w:t>(七)提供全省性“互碰卡”赔案处理简便快捷服务。</w:t>
            </w:r>
          </w:p>
          <w:p>
            <w:pPr>
              <w:pStyle w:val="null3"/>
              <w:spacing w:after="120"/>
              <w:ind w:firstLine="560"/>
              <w:jc w:val="both"/>
            </w:pPr>
            <w:r>
              <w:rPr>
                <w:rFonts w:ascii="仿宋_GB2312" w:hAnsi="仿宋_GB2312" w:cs="仿宋_GB2312" w:eastAsia="仿宋_GB2312"/>
                <w:sz w:val="28"/>
              </w:rPr>
              <w:t>(八)事故车辆维修采取自愿原则</w:t>
            </w:r>
          </w:p>
          <w:p>
            <w:pPr>
              <w:pStyle w:val="null3"/>
              <w:spacing w:after="120"/>
              <w:ind w:firstLine="560"/>
              <w:jc w:val="both"/>
            </w:pPr>
            <w:r>
              <w:rPr>
                <w:rFonts w:ascii="仿宋_GB2312" w:hAnsi="仿宋_GB2312" w:cs="仿宋_GB2312" w:eastAsia="仿宋_GB2312"/>
                <w:sz w:val="28"/>
              </w:rPr>
              <w:t>车辆出险后，投标供应商应迅速准确定损报价，为尽快修复出险车辆提供保障，投标供应商采用我方指定修理厂进行维修。事故车辆修理费用结账时，采购人、投标方及修理厂家三方对维修价格达成一致并确认无误后，投标供应商将赔偿金额划入我方指定账户。</w:t>
            </w:r>
          </w:p>
          <w:p>
            <w:pPr>
              <w:pStyle w:val="null3"/>
              <w:spacing w:after="120"/>
              <w:ind w:firstLine="560"/>
              <w:jc w:val="both"/>
            </w:pPr>
            <w:r>
              <w:rPr>
                <w:rFonts w:ascii="仿宋_GB2312" w:hAnsi="仿宋_GB2312" w:cs="仿宋_GB2312" w:eastAsia="仿宋_GB2312"/>
                <w:sz w:val="28"/>
              </w:rPr>
              <w:t>(九)采购人保险车辆发生第三者人身伤亡或财产损失的保险事故而产生诉讼费用时，投标方应赔付招标方承担的投保车辆发生第三者事故的诉讼或仲裁费用以及其他法律上或保险条款规定的应由投标方承担的费用。</w:t>
            </w:r>
          </w:p>
          <w:p>
            <w:pPr>
              <w:pStyle w:val="null3"/>
              <w:spacing w:after="120"/>
              <w:ind w:firstLine="560"/>
              <w:jc w:val="both"/>
            </w:pPr>
            <w:r>
              <w:rPr>
                <w:rFonts w:ascii="仿宋_GB2312" w:hAnsi="仿宋_GB2312" w:cs="仿宋_GB2312" w:eastAsia="仿宋_GB2312"/>
                <w:sz w:val="28"/>
              </w:rPr>
              <w:t>(十)保险赔偿要求</w:t>
            </w:r>
          </w:p>
          <w:p>
            <w:pPr>
              <w:pStyle w:val="null3"/>
              <w:spacing w:after="120"/>
              <w:ind w:firstLine="560"/>
              <w:jc w:val="both"/>
            </w:pPr>
            <w:r>
              <w:rPr>
                <w:rFonts w:ascii="仿宋_GB2312" w:hAnsi="仿宋_GB2312" w:cs="仿宋_GB2312" w:eastAsia="仿宋_GB2312"/>
                <w:sz w:val="28"/>
              </w:rPr>
              <w:t>1.发生事故后，由保险公司预付资金用于赔偿事故损失。</w:t>
            </w:r>
          </w:p>
          <w:p>
            <w:pPr>
              <w:pStyle w:val="null3"/>
              <w:spacing w:after="120"/>
              <w:ind w:firstLine="560"/>
              <w:jc w:val="both"/>
            </w:pPr>
            <w:r>
              <w:rPr>
                <w:rFonts w:ascii="仿宋_GB2312" w:hAnsi="仿宋_GB2312" w:cs="仿宋_GB2312" w:eastAsia="仿宋_GB2312"/>
                <w:sz w:val="28"/>
              </w:rPr>
              <w:t>2.车上非自带品(包括改装的大灯，加装的保险杠等)纳入赔偿范围之内。</w:t>
            </w:r>
          </w:p>
          <w:p>
            <w:pPr>
              <w:pStyle w:val="null3"/>
              <w:spacing w:after="120"/>
              <w:ind w:firstLine="560"/>
              <w:jc w:val="both"/>
            </w:pPr>
            <w:r>
              <w:rPr>
                <w:rFonts w:ascii="仿宋_GB2312" w:hAnsi="仿宋_GB2312" w:cs="仿宋_GB2312" w:eastAsia="仿宋_GB2312"/>
                <w:sz w:val="28"/>
              </w:rPr>
              <w:t>3.实际赔偿金额为保险公司定损金额100%。</w:t>
            </w:r>
          </w:p>
          <w:p>
            <w:pPr>
              <w:pStyle w:val="null3"/>
              <w:spacing w:after="120"/>
              <w:ind w:firstLine="560"/>
              <w:jc w:val="both"/>
            </w:pPr>
            <w:r>
              <w:rPr>
                <w:rFonts w:ascii="仿宋_GB2312" w:hAnsi="仿宋_GB2312" w:cs="仿宋_GB2312" w:eastAsia="仿宋_GB2312"/>
                <w:sz w:val="28"/>
              </w:rPr>
              <w:t>4.所有车辆按照车辆号牌及车架号进行保险和理赔。对招标单位因内部审批流程等原因，暂未能办理号牌车辆，按照车架号进行保险和理赔。招标单位投保的车辆出险后，不得以任何理由拒绝赔付。</w:t>
            </w:r>
          </w:p>
          <w:p>
            <w:pPr>
              <w:pStyle w:val="null3"/>
              <w:spacing w:after="120"/>
              <w:ind w:firstLine="420"/>
              <w:jc w:val="both"/>
            </w:pPr>
            <w:r>
              <w:rPr>
                <w:rFonts w:ascii="仿宋_GB2312" w:hAnsi="仿宋_GB2312" w:cs="仿宋_GB2312" w:eastAsia="仿宋_GB2312"/>
                <w:sz w:val="28"/>
              </w:rPr>
              <w:t>六、服务要求</w:t>
            </w:r>
            <w:r>
              <w:rPr>
                <w:rFonts w:ascii="仿宋_GB2312" w:hAnsi="仿宋_GB2312" w:cs="仿宋_GB2312" w:eastAsia="仿宋_GB2312"/>
                <w:sz w:val="28"/>
              </w:rPr>
              <w:t>：投标供应商须对投保对象提供至少</w:t>
            </w:r>
            <w:r>
              <w:rPr>
                <w:rFonts w:ascii="仿宋_GB2312" w:hAnsi="仿宋_GB2312" w:cs="仿宋_GB2312" w:eastAsia="仿宋_GB2312"/>
                <w:sz w:val="28"/>
              </w:rPr>
              <w:t>3名理赔专员，对所有保险事故有专人跟踪，并提供转报案和咨询服务。发生保险责任事故时，采购人向投标方客服中心报案也可直接向投标供应商指定负责人报案，由其指导报案接到报案通知后，3分钟内调度查勘人员:查勘人员5分钟内主动与我方有关人员联系，作必要的现场指导。</w:t>
            </w:r>
          </w:p>
          <w:p>
            <w:pPr>
              <w:pStyle w:val="null3"/>
              <w:jc w:val="both"/>
            </w:pPr>
            <w:r>
              <w:rPr>
                <w:rFonts w:ascii="仿宋_GB2312" w:hAnsi="仿宋_GB2312" w:cs="仿宋_GB2312" w:eastAsia="仿宋_GB2312"/>
                <w:sz w:val="28"/>
              </w:rPr>
              <w:t>七、商务要求</w:t>
            </w:r>
          </w:p>
          <w:p>
            <w:pPr>
              <w:pStyle w:val="null3"/>
              <w:spacing w:after="120"/>
              <w:ind w:firstLine="420"/>
              <w:jc w:val="both"/>
            </w:pPr>
            <w:r>
              <w:rPr>
                <w:rFonts w:ascii="仿宋_GB2312" w:hAnsi="仿宋_GB2312" w:cs="仿宋_GB2312" w:eastAsia="仿宋_GB2312"/>
                <w:sz w:val="28"/>
              </w:rPr>
              <w:t>服务期：自合同签订之日起一年。</w:t>
            </w:r>
          </w:p>
          <w:p>
            <w:pPr>
              <w:pStyle w:val="null3"/>
              <w:spacing w:after="120"/>
              <w:ind w:firstLine="420"/>
              <w:jc w:val="both"/>
            </w:pPr>
            <w:r>
              <w:rPr>
                <w:rFonts w:ascii="仿宋_GB2312" w:hAnsi="仿宋_GB2312" w:cs="仿宋_GB2312" w:eastAsia="仿宋_GB2312"/>
                <w:sz w:val="28"/>
              </w:rPr>
              <w:t>付款方式：合同签订后</w:t>
            </w:r>
            <w:r>
              <w:rPr>
                <w:rFonts w:ascii="仿宋_GB2312" w:hAnsi="仿宋_GB2312" w:cs="仿宋_GB2312" w:eastAsia="仿宋_GB2312"/>
                <w:sz w:val="28"/>
              </w:rPr>
              <w:t>30日内，乙方按照采购人要求开具相应金额的增值税发票，采购人按照合同约定付款。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根据项目内容配置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根据项目内容配置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成交供应商按竞争性磋商文件要求与采购人签订保单。 成交供应商应切实加强保单签收的管理工作，通过有效方式提高保单签收回执的回收率，对续保业务应视同新单业务，切实做好保单签收管理工作。 对通过银保通系统出单的，成交供应商应将相关保单条款在出单时一并送达采购人。 3、成交供应商应加强内部管理。送达的保单、条款，要确保完整送达至采购人处，并做好相关签收管理工作。 4、成交供应商在通过网络开展业务时，投保业务流程中网页必须设置“已阅读并理解保险条款全部内容”的勾选环节，并将该产品的条款内容内嵌在该页面中。投保完成后，必须设置“打印或下载保险条款”的选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合同签订后30日内，乙方按照采购人要求开具相应金额的增值税发票，采购人按照合同约定付款。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3、在执行本合同中发生的或与本合同有关的争端，双方应通过友好协商解决，经协商在15天内不能达成协议时，应向项目所在地人民法院进行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提供投标人合法注册的法人或其他组织的营业执照等证明文件或自然人的身份证明</w:t>
            </w:r>
          </w:p>
        </w:tc>
        <w:tc>
          <w:tcPr>
            <w:tcW w:type="dxa" w:w="3322"/>
          </w:tcPr>
          <w:p>
            <w:pPr>
              <w:pStyle w:val="null3"/>
            </w:pPr>
            <w:r>
              <w:rPr>
                <w:rFonts w:ascii="仿宋_GB2312" w:hAnsi="仿宋_GB2312" w:cs="仿宋_GB2312" w:eastAsia="仿宋_GB2312"/>
              </w:rPr>
              <w:t>提供投标人合法注册的法人或其他组织的营业执照等证明文件或自然人的身份证明；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提供具有履行本合同所必需的设备和专业技术能力的说明（提供书面说明，加盖供应商公章）</w:t>
            </w:r>
          </w:p>
        </w:tc>
        <w:tc>
          <w:tcPr>
            <w:tcW w:type="dxa" w:w="1661"/>
          </w:tcPr>
          <w:p>
            <w:pPr>
              <w:pStyle w:val="null3"/>
            </w:pPr>
            <w:r>
              <w:rPr>
                <w:rFonts w:ascii="仿宋_GB2312" w:hAnsi="仿宋_GB2312" w:cs="仿宋_GB2312" w:eastAsia="仿宋_GB2312"/>
              </w:rPr>
              <w:t>承诺书.docx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承诺书.docx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法定代表人证明书及法定代表人授权书.docx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经营机动车辆保险业务资格</w:t>
            </w:r>
          </w:p>
        </w:tc>
        <w:tc>
          <w:tcPr>
            <w:tcW w:type="dxa" w:w="3322"/>
          </w:tcPr>
          <w:p>
            <w:pPr>
              <w:pStyle w:val="null3"/>
            </w:pPr>
            <w:r>
              <w:rPr>
                <w:rFonts w:ascii="仿宋_GB2312" w:hAnsi="仿宋_GB2312" w:cs="仿宋_GB2312" w:eastAsia="仿宋_GB2312"/>
              </w:rPr>
              <w:t>供应商必须具有经营机动车辆保险业务资格，提供有效期内的中国保监会依法颁发的《经营保险业务许可证》（旧证），或中国银保监会及其授权的派出机构依法颁发的《保险许可证》（新证，2021年7月1日起），（总公司只允许授权1家分支机构参与磋商，且不能与分支机构同时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代理机构开标当天查询）；</w:t>
            </w:r>
          </w:p>
        </w:tc>
        <w:tc>
          <w:tcPr>
            <w:tcW w:type="dxa" w:w="1661"/>
          </w:tcPr>
          <w:p>
            <w:pPr>
              <w:pStyle w:val="null3"/>
            </w:pPr>
            <w:r>
              <w:rPr>
                <w:rFonts w:ascii="仿宋_GB2312" w:hAnsi="仿宋_GB2312" w:cs="仿宋_GB2312" w:eastAsia="仿宋_GB2312"/>
              </w:rPr>
              <w:t>承诺书.docx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（1）响应文件封面 （2）响应函（3）法定代表人（主要负责人）委托授权书\身份证明</w:t>
            </w:r>
          </w:p>
        </w:tc>
        <w:tc>
          <w:tcPr>
            <w:tcW w:type="dxa" w:w="1661"/>
          </w:tcPr>
          <w:p>
            <w:pPr>
              <w:pStyle w:val="null3"/>
            </w:pPr>
            <w:r>
              <w:rPr>
                <w:rFonts w:ascii="仿宋_GB2312" w:hAnsi="仿宋_GB2312" w:cs="仿宋_GB2312" w:eastAsia="仿宋_GB2312"/>
              </w:rPr>
              <w:t>响应文件封面 法定代表人证明书及法定代表人授权书.docx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签章均符合文件要求，且无遗漏</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承诺书.docx 报价表 响应文件封面 分项报价表.docx 残疾人福利性单位声明函 拒绝政府采购领域商业贿赂承诺书.docx 服务方案 标的清单 法定代表人证明书及法定代表人授权书.docx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（1）货币单位符合磋商文件要求 （2）报价符合唯一性要求 （3）未超出采购预算 （4）符合《报价表》的填报要求</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完全响应竞争性磋商文件要求的各项服务、商务实质性条款</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响应文件封面 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保障范围</w:t>
            </w:r>
          </w:p>
        </w:tc>
        <w:tc>
          <w:tcPr>
            <w:tcW w:type="dxa" w:w="2492"/>
          </w:tcPr>
          <w:p>
            <w:pPr>
              <w:pStyle w:val="null3"/>
            </w:pPr>
            <w:r>
              <w:rPr>
                <w:rFonts w:ascii="仿宋_GB2312" w:hAnsi="仿宋_GB2312" w:cs="仿宋_GB2312" w:eastAsia="仿宋_GB2312"/>
              </w:rPr>
              <w:t>根据供应商针对本项目的保险投保保障范围进行综合评分： ①完全符合竞争性磋商文件的保险保障要求，措辞严谨，描述清晰，保障全面，对保险保障范围进行实质性扩展、提升得10分； ②保障范围、保险保障要求内容完善，未对保障范围进行提升的得8分； ③符合保障范围及保险保障要求，未提供相应优惠措施的得4分； ④保障范围及保险保障要求理解及认识不准确得2分； ⑤未提供车辆保障范围不得分。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根据供应商针对本项目提供的整体服务方案，包括但不限于①业务承揽；②出单；③保费收取；④报案；⑤理赔；⑥业务操作流程等，进行综合评定： ①内容详细全面、方案合理、架构完整、层次清楚、完善可行的计10分； ②针对以上方案要求，有1项欠缺的计7分； ③针对以上方案要求，有2项欠缺的计5分； ④针对以上方案要求，有3项欠缺及以上的计3分； ⑤未提供本项内容的不计分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投诉管理制度</w:t>
            </w:r>
          </w:p>
        </w:tc>
        <w:tc>
          <w:tcPr>
            <w:tcW w:type="dxa" w:w="2492"/>
          </w:tcPr>
          <w:p>
            <w:pPr>
              <w:pStyle w:val="null3"/>
            </w:pPr>
            <w:r>
              <w:rPr>
                <w:rFonts w:ascii="仿宋_GB2312" w:hAnsi="仿宋_GB2312" w:cs="仿宋_GB2312" w:eastAsia="仿宋_GB2312"/>
              </w:rPr>
              <w:t>有严格的报案、理赔、投诉管理制度，并严格执行。①内容详细全面、方案合理、完善可行的计10分； ②针对以上方案要求，有1项欠缺或只有书面承诺，缺少具体措施办法的计5分； ③针对以上方案要求，有2项欠缺的计3分； ④未提供本项内容的不计分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客户回访</w:t>
            </w:r>
          </w:p>
        </w:tc>
        <w:tc>
          <w:tcPr>
            <w:tcW w:type="dxa" w:w="2492"/>
          </w:tcPr>
          <w:p>
            <w:pPr>
              <w:pStyle w:val="null3"/>
            </w:pPr>
            <w:r>
              <w:rPr>
                <w:rFonts w:ascii="仿宋_GB2312" w:hAnsi="仿宋_GB2312" w:cs="仿宋_GB2312" w:eastAsia="仿宋_GB2312"/>
              </w:rPr>
              <w:t>定期对客户进行回访，并提供详细的服务方案。 ①内容详细全面、方案合理、完善可行的计10分； ②有欠缺或只有书面承诺，缺少具体措施办法的计5分； ③未提供本项内容的不计分。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时效保障承诺1</w:t>
            </w:r>
          </w:p>
        </w:tc>
        <w:tc>
          <w:tcPr>
            <w:tcW w:type="dxa" w:w="2492"/>
          </w:tcPr>
          <w:p>
            <w:pPr>
              <w:pStyle w:val="null3"/>
            </w:pPr>
            <w:r>
              <w:rPr>
                <w:rFonts w:ascii="仿宋_GB2312" w:hAnsi="仿宋_GB2312" w:cs="仿宋_GB2312" w:eastAsia="仿宋_GB2312"/>
              </w:rPr>
              <w:t>根据供应商对出现车辆事故出险响应时效承诺情况进行评分： ①从报案确认至现场处理响应在30分钟（含）内，处理流程清晰迅速得10分； ②从报案确认至现场处理响应超过30分钟但不超过1小时（含），但处理流程清晰迅速得7分； ③从报案确认至现场处理响应超过1小时，处理流程不清晰得5分； ④从报案确认至现场处理响应超过2小时，处理流程不清晰且缓慢得3分。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时效保障承诺2</w:t>
            </w:r>
          </w:p>
        </w:tc>
        <w:tc>
          <w:tcPr>
            <w:tcW w:type="dxa" w:w="2492"/>
          </w:tcPr>
          <w:p>
            <w:pPr>
              <w:pStyle w:val="null3"/>
            </w:pPr>
            <w:r>
              <w:rPr>
                <w:rFonts w:ascii="仿宋_GB2312" w:hAnsi="仿宋_GB2312" w:cs="仿宋_GB2312" w:eastAsia="仿宋_GB2312"/>
              </w:rPr>
              <w:t>根据供应商对出现车辆事故理赔结案时效承诺情况进行评分：从被保险人提供全部单证至完成结案的周期（以天计），结案周期最短者得5分，最短周期每延长3天（含3天内）减1分，依次递减，减完为止。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时效保障承诺3</w:t>
            </w:r>
          </w:p>
        </w:tc>
        <w:tc>
          <w:tcPr>
            <w:tcW w:type="dxa" w:w="2492"/>
          </w:tcPr>
          <w:p>
            <w:pPr>
              <w:pStyle w:val="null3"/>
            </w:pPr>
            <w:r>
              <w:rPr>
                <w:rFonts w:ascii="仿宋_GB2312" w:hAnsi="仿宋_GB2312" w:cs="仿宋_GB2312" w:eastAsia="仿宋_GB2312"/>
              </w:rPr>
              <w:t>根据供应商对出现车辆事故从赔款金额确认至划到被保险人账户的结案支付周期时效承诺情况进行评分： 结案周期最短者得5分，较最短周期每延长3天（含3天内）减1分，依次递减，减完为止。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项目负责人资格证书、职称水平、荣誉证书及丰富的承保工作经验进行综合评分； ①项目负责人资料齐全、专业匹配度高、资历丰富、有相关证书、经验丰富得5分； ②项目负责人资料有1项欠缺的得3分； ③项目负责人专业不匹配、无相关证书、经验欠缺得1分； 注：须提供人员身份证、学历证、职称证书（如有）、资格证（如有）、工作经历等材料并加盖供应商公章。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服务团队人员应包含承保、理赔、风险管理和协调沟通不同专业能力和职能的人员，根据团队人员构成情况、人员数量、职责情况进行综合评分： ①服务团队人员构成专业全面，服务团队岗位人员≥3人且职责明确合理得10分； ②服务团队人员构成全面，服务团队人员≥3人，职责不明确得7分； ③服务团队人员专业构成存在缺陷，服务团队人员不足3人，职责混乱得4分。 ④未提供服务团队人员不得分。 注：须提供人员身份证、资格证书（如有）等材料并加盖供应商公章。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其他服务与优惠承诺1</w:t>
            </w:r>
          </w:p>
        </w:tc>
        <w:tc>
          <w:tcPr>
            <w:tcW w:type="dxa" w:w="2492"/>
          </w:tcPr>
          <w:p>
            <w:pPr>
              <w:pStyle w:val="null3"/>
            </w:pPr>
            <w:r>
              <w:rPr>
                <w:rFonts w:ascii="仿宋_GB2312" w:hAnsi="仿宋_GB2312" w:cs="仿宋_GB2312" w:eastAsia="仿宋_GB2312"/>
              </w:rPr>
              <w:t>根据供应商服务特色及其他增值服务与优惠承诺的合理性、可行性，进行综合评定： ①特色服务丰富，其他优惠承诺合理可行得5分； ②特色服务意义不明确，其他优惠承诺欠缺得3分；③没有特色服务及其他服务与优惠承诺的不得分。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其他服务与优惠承诺2</w:t>
            </w:r>
          </w:p>
        </w:tc>
        <w:tc>
          <w:tcPr>
            <w:tcW w:type="dxa" w:w="2492"/>
          </w:tcPr>
          <w:p>
            <w:pPr>
              <w:pStyle w:val="null3"/>
            </w:pPr>
            <w:r>
              <w:rPr>
                <w:rFonts w:ascii="仿宋_GB2312" w:hAnsi="仿宋_GB2312" w:cs="仿宋_GB2312" w:eastAsia="仿宋_GB2312"/>
              </w:rPr>
              <w:t>针对本项目采购人保险服务需求的基础上，承诺有一定的经济实力垫付已产生未支付的保险费用的能力：完全响应并承诺得5分； 响应但未承诺的得3分； 不响应不得分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1月1日至磋商响应文件截止时间）供应商曾参与过类似服务项目的业绩的情况，须提供合同复印件等证明材料（所提供的合同可以不牵涉到金额等相关商业机密信息，但必须提供合同双方签署页及合同签署双方的完整信息进行评审）。每提供一个有效业绩证明材料得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价格分统一采用低价优先法计算，即满足磋商文件要求且报价最低的为评标基准价，其报价分为满分。其他供应商的价格分统一按照下列公式计算： 磋商报价得分= (磋商基准价／磋商报价）×10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