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版本号：STTY-GC-2026-001(2)20260401001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蓝田县锡水洞遗址安防工程项目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STTY-GC-2026-001(2)</w:t>
      </w:r>
      <w:r>
        <w:br/>
      </w:r>
      <w:r>
        <w:br/>
      </w:r>
      <w:r>
        <w:br/>
      </w:r>
    </w:p>
    <w:p>
      <w:pPr>
        <w:pStyle w:val="null3"/>
        <w:jc w:val="center"/>
        <w:outlineLvl w:val="2"/>
      </w:pPr>
      <w:r>
        <w:rPr>
          <w:rFonts w:ascii="仿宋_GB2312" w:hAnsi="仿宋_GB2312" w:cs="仿宋_GB2312" w:eastAsia="仿宋_GB2312"/>
          <w:sz w:val="28"/>
          <w:b/>
        </w:rPr>
        <w:t>西安市蓝田县文化和旅游体育局（本级）</w:t>
      </w:r>
    </w:p>
    <w:p>
      <w:pPr>
        <w:pStyle w:val="null3"/>
        <w:jc w:val="center"/>
        <w:outlineLvl w:val="2"/>
      </w:pPr>
      <w:r>
        <w:rPr>
          <w:rFonts w:ascii="仿宋_GB2312" w:hAnsi="仿宋_GB2312" w:cs="仿宋_GB2312" w:eastAsia="仿宋_GB2312"/>
          <w:sz w:val="28"/>
          <w:b/>
        </w:rPr>
        <w:t>陕西盛泰天域项目管理有限公司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陕西盛泰天域项目管理有限公司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西安市蓝田县文化和旅游体育局（本级）</w:t>
      </w:r>
      <w:r>
        <w:rPr>
          <w:rFonts w:ascii="仿宋_GB2312" w:hAnsi="仿宋_GB2312" w:cs="仿宋_GB2312" w:eastAsia="仿宋_GB2312"/>
        </w:rPr>
        <w:t>委托，拟对</w:t>
      </w:r>
      <w:r>
        <w:rPr>
          <w:rFonts w:ascii="仿宋_GB2312" w:hAnsi="仿宋_GB2312" w:cs="仿宋_GB2312" w:eastAsia="仿宋_GB2312"/>
        </w:rPr>
        <w:t>蓝田县锡水洞遗址安防工程项目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STTY-GC-2026-001(2)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蓝田县锡水洞遗址安防工程项目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蓝田锡水洞遗址安防工程项目，范围包括内容:入侵和紧急报警系统、视频监控、入口控制系统、紧急广播系统、内部通讯系统、传输系统、供电系统、防雷接地系统、监控中心建设;主要功能或目标:对遗址保护范围主要通道、重点位置等进行实时监控，对进入遗址保护区人员进行全程跟踪，并利用各种智能分析手段、将“事后调查取证”与“事前预防制”完美结合、满足“人防”、“技防”“物防”的“三防合一策略，对遗址保护区实行纵深防护体系的实时监管，具体详见设计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1、法定代表人授权书/法定代表人身份证明：法定代表人授权书及被授权人近三个月内至少一个月的社保缴纳证明(法定代表人直接参加磋商，须提供法定代表人身份证明)。</w:t>
      </w:r>
    </w:p>
    <w:p>
      <w:pPr>
        <w:pStyle w:val="null3"/>
      </w:pPr>
      <w:r>
        <w:rPr>
          <w:rFonts w:ascii="仿宋_GB2312" w:hAnsi="仿宋_GB2312" w:cs="仿宋_GB2312" w:eastAsia="仿宋_GB2312"/>
        </w:rPr>
        <w:t>2、资质要求：供应商须具备行业主管部门颁发的电子与智能化工程专业承包资质二级及以上资质并具有有效的安全生产许可证。</w:t>
      </w:r>
    </w:p>
    <w:p>
      <w:pPr>
        <w:pStyle w:val="null3"/>
      </w:pPr>
      <w:r>
        <w:rPr>
          <w:rFonts w:ascii="仿宋_GB2312" w:hAnsi="仿宋_GB2312" w:cs="仿宋_GB2312" w:eastAsia="仿宋_GB2312"/>
        </w:rPr>
        <w:t>3、项目经理：机电工程专业二级及以上注册建造师资格，有效的安全生产考核合格证书(建安B证)，在本单位注册且无在建工程。</w:t>
      </w:r>
    </w:p>
    <w:p>
      <w:pPr>
        <w:pStyle w:val="null3"/>
      </w:pPr>
      <w:r>
        <w:rPr>
          <w:rFonts w:ascii="仿宋_GB2312" w:hAnsi="仿宋_GB2312" w:cs="仿宋_GB2312" w:eastAsia="仿宋_GB2312"/>
        </w:rPr>
        <w:t>4、基本信息及项目经理基本信息查询：供应商基本信息及项目经理基本信息应在“陕西省住房和城乡建设厅网站(http://js.shaaxi.gov.cn/)陕西省建筑市场监管与诚信信息发布平台”可查询。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西安市蓝田县文化和旅游体育局（本级）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陕西省西安市蓝田县县门街6号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惠晓瑞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029-82732370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陕西盛泰天域项目管理有限公司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陕西省西安市经济技术开发区明光路天朗经开中心21楼12104室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王雪阳、祁亚娟、王杨山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029-81312183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代理服务费收费标准：参考国家计委颁布的《招标代理服务收费管理暂行办法》(计价格2002]1980号)文件工程类计算标准，以中标/成交价为基数计算代理服务费。 公司名称;陕西盛泰天域项目管理有限公司 开户行：中国建设银行股份有限公司西安世融嘉城支行 账 户：61050175540000001105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西安市蓝田县文化和旅游体育局（本级）</w:t>
      </w:r>
      <w:r>
        <w:rPr>
          <w:rFonts w:ascii="仿宋_GB2312" w:hAnsi="仿宋_GB2312" w:cs="仿宋_GB2312" w:eastAsia="仿宋_GB2312"/>
        </w:rPr>
        <w:t>和</w:t>
      </w:r>
      <w:r>
        <w:rPr>
          <w:rFonts w:ascii="仿宋_GB2312" w:hAnsi="仿宋_GB2312" w:cs="仿宋_GB2312" w:eastAsia="仿宋_GB2312"/>
        </w:rPr>
        <w:t>陕西盛泰天域项目管理有限公司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西安市蓝田县文化和旅游体育局（本级）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陕西盛泰天域项目管理有限公司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西安市蓝田县文化和旅游体育局（本级）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陕西盛泰天域项目管理有限公司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达到现行相关验收规范“合格”标准。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联系人：王雪阳</w:t>
      </w:r>
    </w:p>
    <w:p>
      <w:pPr>
        <w:pStyle w:val="null3"/>
      </w:pPr>
      <w:r>
        <w:rPr>
          <w:rFonts w:ascii="仿宋_GB2312" w:hAnsi="仿宋_GB2312" w:cs="仿宋_GB2312" w:eastAsia="仿宋_GB2312"/>
        </w:rPr>
        <w:t>联系电话：029-81312183</w:t>
      </w:r>
    </w:p>
    <w:p>
      <w:pPr>
        <w:pStyle w:val="null3"/>
      </w:pPr>
      <w:r>
        <w:rPr>
          <w:rFonts w:ascii="仿宋_GB2312" w:hAnsi="仿宋_GB2312" w:cs="仿宋_GB2312" w:eastAsia="仿宋_GB2312"/>
        </w:rPr>
        <w:t>地址：陕西省西安市经济技术开发区明光路天朗经开中心21楼12104室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889,000.00</w:t>
      </w:r>
    </w:p>
    <w:p>
      <w:pPr>
        <w:pStyle w:val="null3"/>
      </w:pPr>
      <w:r>
        <w:rPr>
          <w:rFonts w:ascii="仿宋_GB2312" w:hAnsi="仿宋_GB2312" w:cs="仿宋_GB2312" w:eastAsia="仿宋_GB2312"/>
        </w:rPr>
        <w:t>采购包最高限价（元）: 889,000.00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蓝田县锡水洞遗址安防工程项目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889,000.00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标的名称：蓝田县锡水洞遗址安防工程项目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一、工程概况</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、建设单位</w:t>
            </w:r>
            <w:r>
              <w:rPr>
                <w:rFonts w:ascii="仿宋_GB2312" w:hAnsi="仿宋_GB2312" w:cs="仿宋_GB2312" w:eastAsia="仿宋_GB2312"/>
                <w:sz w:val="21"/>
                <w:color w:val="000000"/>
              </w:rPr>
              <w:t>:</w:t>
            </w:r>
            <w:r>
              <w:rPr>
                <w:rFonts w:ascii="仿宋_GB2312" w:hAnsi="仿宋_GB2312" w:cs="仿宋_GB2312" w:eastAsia="仿宋_GB2312"/>
                <w:sz w:val="21"/>
                <w:color w:val="000000"/>
              </w:rPr>
              <w:t>蓝田县文化和旅游体育局</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、项目名称</w:t>
            </w:r>
            <w:r>
              <w:rPr>
                <w:rFonts w:ascii="仿宋_GB2312" w:hAnsi="仿宋_GB2312" w:cs="仿宋_GB2312" w:eastAsia="仿宋_GB2312"/>
                <w:sz w:val="21"/>
                <w:color w:val="000000"/>
              </w:rPr>
              <w:t>:</w:t>
            </w:r>
            <w:r>
              <w:rPr>
                <w:rFonts w:ascii="仿宋_GB2312" w:hAnsi="仿宋_GB2312" w:cs="仿宋_GB2312" w:eastAsia="仿宋_GB2312"/>
                <w:sz w:val="21"/>
                <w:color w:val="000000"/>
              </w:rPr>
              <w:t>蓝田锡水洞遗址安防工程项目</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、项目建设地点</w:t>
            </w:r>
            <w:r>
              <w:rPr>
                <w:rFonts w:ascii="仿宋_GB2312" w:hAnsi="仿宋_GB2312" w:cs="仿宋_GB2312" w:eastAsia="仿宋_GB2312"/>
                <w:sz w:val="21"/>
                <w:color w:val="000000"/>
              </w:rPr>
              <w:t>:</w:t>
            </w:r>
            <w:r>
              <w:rPr>
                <w:rFonts w:ascii="仿宋_GB2312" w:hAnsi="仿宋_GB2312" w:cs="仿宋_GB2312" w:eastAsia="仿宋_GB2312"/>
                <w:sz w:val="21"/>
                <w:color w:val="000000"/>
              </w:rPr>
              <w:t>蓝田县</w:t>
            </w:r>
          </w:p>
          <w:p>
            <w:pPr>
              <w:pStyle w:val="null3"/>
            </w:pPr>
            <w:r>
              <w:rPr>
                <w:rFonts w:ascii="仿宋_GB2312" w:hAnsi="仿宋_GB2312" w:cs="仿宋_GB2312" w:eastAsia="仿宋_GB2312"/>
                <w:sz w:val="21"/>
                <w:color w:val="000000"/>
              </w:rPr>
              <w:t>二、实施范围</w:t>
            </w:r>
          </w:p>
          <w:p>
            <w:pPr>
              <w:pStyle w:val="null3"/>
            </w:pPr>
            <w:r>
              <w:rPr>
                <w:rFonts w:ascii="仿宋_GB2312" w:hAnsi="仿宋_GB2312" w:cs="仿宋_GB2312" w:eastAsia="仿宋_GB2312"/>
                <w:sz w:val="21"/>
                <w:color w:val="000000"/>
              </w:rPr>
              <w:t>范围包括内容</w:t>
            </w:r>
            <w:r>
              <w:rPr>
                <w:rFonts w:ascii="仿宋_GB2312" w:hAnsi="仿宋_GB2312" w:cs="仿宋_GB2312" w:eastAsia="仿宋_GB2312"/>
                <w:sz w:val="21"/>
                <w:color w:val="000000"/>
              </w:rPr>
              <w:t>:</w:t>
            </w:r>
            <w:r>
              <w:rPr>
                <w:rFonts w:ascii="仿宋_GB2312" w:hAnsi="仿宋_GB2312" w:cs="仿宋_GB2312" w:eastAsia="仿宋_GB2312"/>
                <w:sz w:val="21"/>
                <w:color w:val="000000"/>
              </w:rPr>
              <w:t>入侵和紧急报警系统、视频监控、入口控制系统、紧急广播系统、内部通讯系统、传输系统、供</w:t>
            </w:r>
          </w:p>
          <w:p>
            <w:pPr>
              <w:pStyle w:val="null3"/>
            </w:pPr>
            <w:r>
              <w:rPr>
                <w:rFonts w:ascii="仿宋_GB2312" w:hAnsi="仿宋_GB2312" w:cs="仿宋_GB2312" w:eastAsia="仿宋_GB2312"/>
                <w:sz w:val="21"/>
                <w:color w:val="000000"/>
              </w:rPr>
              <w:t>电系统、防雷接地系统、监控中心建设</w:t>
            </w:r>
            <w:r>
              <w:rPr>
                <w:rFonts w:ascii="仿宋_GB2312" w:hAnsi="仿宋_GB2312" w:cs="仿宋_GB2312" w:eastAsia="仿宋_GB2312"/>
                <w:sz w:val="21"/>
                <w:color w:val="000000"/>
              </w:rPr>
              <w:t>;</w:t>
            </w:r>
            <w:r>
              <w:rPr>
                <w:rFonts w:ascii="仿宋_GB2312" w:hAnsi="仿宋_GB2312" w:cs="仿宋_GB2312" w:eastAsia="仿宋_GB2312"/>
                <w:sz w:val="21"/>
                <w:color w:val="000000"/>
              </w:rPr>
              <w:t>主要功能或目标</w:t>
            </w:r>
            <w:r>
              <w:rPr>
                <w:rFonts w:ascii="仿宋_GB2312" w:hAnsi="仿宋_GB2312" w:cs="仿宋_GB2312" w:eastAsia="仿宋_GB2312"/>
                <w:sz w:val="21"/>
                <w:color w:val="000000"/>
              </w:rPr>
              <w:t>:</w:t>
            </w:r>
            <w:r>
              <w:rPr>
                <w:rFonts w:ascii="仿宋_GB2312" w:hAnsi="仿宋_GB2312" w:cs="仿宋_GB2312" w:eastAsia="仿宋_GB2312"/>
                <w:sz w:val="21"/>
                <w:color w:val="000000"/>
              </w:rPr>
              <w:t>对遗址保护范围主要通道、重点位置等进行实时监控，对</w:t>
            </w:r>
          </w:p>
          <w:p>
            <w:pPr>
              <w:pStyle w:val="null3"/>
            </w:pPr>
            <w:r>
              <w:rPr>
                <w:rFonts w:ascii="仿宋_GB2312" w:hAnsi="仿宋_GB2312" w:cs="仿宋_GB2312" w:eastAsia="仿宋_GB2312"/>
                <w:sz w:val="21"/>
                <w:color w:val="000000"/>
              </w:rPr>
              <w:t>进入遗址保护区人员进行全程跟踪，并利用各种智能分析手段、将</w:t>
            </w:r>
            <w:r>
              <w:rPr>
                <w:rFonts w:ascii="仿宋_GB2312" w:hAnsi="仿宋_GB2312" w:cs="仿宋_GB2312" w:eastAsia="仿宋_GB2312"/>
                <w:sz w:val="21"/>
                <w:color w:val="000000"/>
              </w:rPr>
              <w:t>“</w:t>
            </w:r>
            <w:r>
              <w:rPr>
                <w:rFonts w:ascii="仿宋_GB2312" w:hAnsi="仿宋_GB2312" w:cs="仿宋_GB2312" w:eastAsia="仿宋_GB2312"/>
                <w:sz w:val="21"/>
                <w:color w:val="000000"/>
              </w:rPr>
              <w:t>事后调查取证</w:t>
            </w:r>
            <w:r>
              <w:rPr>
                <w:rFonts w:ascii="仿宋_GB2312" w:hAnsi="仿宋_GB2312" w:cs="仿宋_GB2312" w:eastAsia="仿宋_GB2312"/>
                <w:sz w:val="21"/>
                <w:color w:val="000000"/>
              </w:rPr>
              <w:t>”</w:t>
            </w:r>
            <w:r>
              <w:rPr>
                <w:rFonts w:ascii="仿宋_GB2312" w:hAnsi="仿宋_GB2312" w:cs="仿宋_GB2312" w:eastAsia="仿宋_GB2312"/>
                <w:sz w:val="21"/>
                <w:color w:val="000000"/>
              </w:rPr>
              <w:t>与</w:t>
            </w:r>
            <w:r>
              <w:rPr>
                <w:rFonts w:ascii="仿宋_GB2312" w:hAnsi="仿宋_GB2312" w:cs="仿宋_GB2312" w:eastAsia="仿宋_GB2312"/>
                <w:sz w:val="21"/>
                <w:color w:val="000000"/>
              </w:rPr>
              <w:t>“</w:t>
            </w:r>
            <w:r>
              <w:rPr>
                <w:rFonts w:ascii="仿宋_GB2312" w:hAnsi="仿宋_GB2312" w:cs="仿宋_GB2312" w:eastAsia="仿宋_GB2312"/>
                <w:sz w:val="21"/>
                <w:color w:val="000000"/>
              </w:rPr>
              <w:t>事前预防制</w:t>
            </w:r>
            <w:r>
              <w:rPr>
                <w:rFonts w:ascii="仿宋_GB2312" w:hAnsi="仿宋_GB2312" w:cs="仿宋_GB2312" w:eastAsia="仿宋_GB2312"/>
                <w:sz w:val="21"/>
                <w:color w:val="000000"/>
              </w:rPr>
              <w:t>”</w:t>
            </w:r>
            <w:r>
              <w:rPr>
                <w:rFonts w:ascii="仿宋_GB2312" w:hAnsi="仿宋_GB2312" w:cs="仿宋_GB2312" w:eastAsia="仿宋_GB2312"/>
                <w:sz w:val="21"/>
                <w:color w:val="000000"/>
              </w:rPr>
              <w:t>完美结合、满足</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人防</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技防</w:t>
            </w:r>
            <w:r>
              <w:rPr>
                <w:rFonts w:ascii="仿宋_GB2312" w:hAnsi="仿宋_GB2312" w:cs="仿宋_GB2312" w:eastAsia="仿宋_GB2312"/>
                <w:sz w:val="21"/>
                <w:color w:val="000000"/>
              </w:rPr>
              <w:t>”“</w:t>
            </w:r>
            <w:r>
              <w:rPr>
                <w:rFonts w:ascii="仿宋_GB2312" w:hAnsi="仿宋_GB2312" w:cs="仿宋_GB2312" w:eastAsia="仿宋_GB2312"/>
                <w:sz w:val="21"/>
                <w:color w:val="000000"/>
              </w:rPr>
              <w:t>物防</w:t>
            </w:r>
            <w:r>
              <w:rPr>
                <w:rFonts w:ascii="仿宋_GB2312" w:hAnsi="仿宋_GB2312" w:cs="仿宋_GB2312" w:eastAsia="仿宋_GB2312"/>
                <w:sz w:val="21"/>
                <w:color w:val="000000"/>
              </w:rPr>
              <w:t>”</w:t>
            </w:r>
            <w:r>
              <w:rPr>
                <w:rFonts w:ascii="仿宋_GB2312" w:hAnsi="仿宋_GB2312" w:cs="仿宋_GB2312" w:eastAsia="仿宋_GB2312"/>
                <w:sz w:val="21"/>
                <w:color w:val="000000"/>
              </w:rPr>
              <w:t>的</w:t>
            </w:r>
            <w:r>
              <w:rPr>
                <w:rFonts w:ascii="仿宋_GB2312" w:hAnsi="仿宋_GB2312" w:cs="仿宋_GB2312" w:eastAsia="仿宋_GB2312"/>
                <w:sz w:val="21"/>
                <w:color w:val="000000"/>
              </w:rPr>
              <w:t>“</w:t>
            </w:r>
            <w:r>
              <w:rPr>
                <w:rFonts w:ascii="仿宋_GB2312" w:hAnsi="仿宋_GB2312" w:cs="仿宋_GB2312" w:eastAsia="仿宋_GB2312"/>
                <w:sz w:val="21"/>
                <w:color w:val="000000"/>
              </w:rPr>
              <w:t>三防合一策略，对遗址保护区实行纵深防护体系的实时监管，具体详见设计图纸及工程量</w:t>
            </w:r>
            <w:r>
              <w:rPr>
                <w:rFonts w:ascii="仿宋_GB2312" w:hAnsi="仿宋_GB2312" w:cs="仿宋_GB2312" w:eastAsia="仿宋_GB2312"/>
                <w:sz w:val="21"/>
                <w:color w:val="000000"/>
              </w:rPr>
              <w:t>清单。</w:t>
            </w:r>
          </w:p>
          <w:p>
            <w:pPr>
              <w:pStyle w:val="null3"/>
            </w:pPr>
            <w:r>
              <w:rPr>
                <w:rFonts w:ascii="仿宋_GB2312" w:hAnsi="仿宋_GB2312" w:cs="仿宋_GB2312" w:eastAsia="仿宋_GB2312"/>
                <w:sz w:val="21"/>
                <w:color w:val="000000"/>
              </w:rPr>
              <w:t>三、编制依据</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、依据《蓝田锡水洞遗址安防工程项目》施工图纸相关资料、国家相关标准及规范技术文件；</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、《陕西省通用安装工程消耗量定额》（</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、《陕西省工程建设标准《通用安装工程工程量计算标准》（</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、《陕西省建设工程费用规则》（</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、《陕西省通用安装工程基价表》（</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、陕西省住房和城乡建设厅关于印发</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陕西省建设工程费用规则等计价依据的通知》陕建管发</w:t>
            </w:r>
            <w:r>
              <w:rPr>
                <w:rFonts w:ascii="仿宋_GB2312" w:hAnsi="仿宋_GB2312" w:cs="仿宋_GB2312" w:eastAsia="仿宋_GB2312"/>
                <w:sz w:val="21"/>
                <w:color w:val="000000"/>
              </w:rPr>
              <w:t>[2025]10</w:t>
            </w:r>
            <w:r>
              <w:rPr>
                <w:rFonts w:ascii="仿宋_GB2312" w:hAnsi="仿宋_GB2312" w:cs="仿宋_GB2312" w:eastAsia="仿宋_GB2312"/>
                <w:sz w:val="21"/>
                <w:color w:val="000000"/>
              </w:rPr>
              <w:t>号；</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、材料价格采用《西安造价信息（蓝田县）》</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年</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月及相关市场价计入；</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、本工程采用广联达云计价平台 </w:t>
            </w:r>
            <w:r>
              <w:rPr>
                <w:rFonts w:ascii="仿宋_GB2312" w:hAnsi="仿宋_GB2312" w:cs="仿宋_GB2312" w:eastAsia="仿宋_GB2312"/>
                <w:sz w:val="21"/>
                <w:color w:val="000000"/>
              </w:rPr>
              <w:t xml:space="preserve">GCCP7.0(7.5000.23.2 </w:t>
            </w:r>
            <w:r>
              <w:rPr>
                <w:rFonts w:ascii="仿宋_GB2312" w:hAnsi="仿宋_GB2312" w:cs="仿宋_GB2312" w:eastAsia="仿宋_GB2312"/>
                <w:sz w:val="21"/>
                <w:color w:val="000000"/>
              </w:rPr>
              <w:t>版本</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四、工期：</w:t>
            </w:r>
            <w:r>
              <w:rPr>
                <w:rFonts w:ascii="仿宋_GB2312" w:hAnsi="仿宋_GB2312" w:cs="仿宋_GB2312" w:eastAsia="仿宋_GB2312"/>
                <w:sz w:val="21"/>
                <w:color w:val="000000"/>
              </w:rPr>
              <w:t>60</w:t>
            </w:r>
            <w:r>
              <w:rPr>
                <w:rFonts w:ascii="仿宋_GB2312" w:hAnsi="仿宋_GB2312" w:cs="仿宋_GB2312" w:eastAsia="仿宋_GB2312"/>
                <w:sz w:val="21"/>
                <w:color w:val="000000"/>
              </w:rPr>
              <w:t>日历天。</w:t>
            </w:r>
          </w:p>
          <w:p>
            <w:pPr>
              <w:pStyle w:val="null3"/>
            </w:pPr>
            <w:r>
              <w:rPr>
                <w:rFonts w:ascii="仿宋_GB2312" w:hAnsi="仿宋_GB2312" w:cs="仿宋_GB2312" w:eastAsia="仿宋_GB2312"/>
                <w:sz w:val="21"/>
                <w:color w:val="000000"/>
              </w:rPr>
              <w:t>五、质量标准：符合国家现行有关施工质量验收规范</w:t>
            </w:r>
            <w:r>
              <w:rPr>
                <w:rFonts w:ascii="仿宋_GB2312" w:hAnsi="仿宋_GB2312" w:cs="仿宋_GB2312" w:eastAsia="仿宋_GB2312"/>
                <w:sz w:val="21"/>
                <w:color w:val="000000"/>
              </w:rPr>
              <w:t>“</w:t>
            </w:r>
            <w:r>
              <w:rPr>
                <w:rFonts w:ascii="仿宋_GB2312" w:hAnsi="仿宋_GB2312" w:cs="仿宋_GB2312" w:eastAsia="仿宋_GB2312"/>
                <w:sz w:val="21"/>
                <w:color w:val="000000"/>
              </w:rPr>
              <w:t>合格</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六、质量保修期：</w:t>
            </w:r>
            <w:r>
              <w:rPr>
                <w:rFonts w:ascii="仿宋_GB2312" w:hAnsi="仿宋_GB2312" w:cs="仿宋_GB2312" w:eastAsia="仿宋_GB2312"/>
                <w:sz w:val="21"/>
                <w:color w:val="000000"/>
              </w:rPr>
              <w:t>2</w:t>
            </w:r>
            <w:r>
              <w:rPr>
                <w:rFonts w:ascii="仿宋_GB2312" w:hAnsi="仿宋_GB2312" w:cs="仿宋_GB2312" w:eastAsia="仿宋_GB2312"/>
                <w:sz w:val="21"/>
                <w:color w:val="000000"/>
              </w:rPr>
              <w:t>年。</w:t>
            </w:r>
          </w:p>
          <w:p>
            <w:pPr>
              <w:pStyle w:val="null3"/>
            </w:pPr>
            <w:r>
              <w:rPr>
                <w:rFonts w:ascii="仿宋_GB2312" w:hAnsi="仿宋_GB2312" w:cs="仿宋_GB2312" w:eastAsia="仿宋_GB2312"/>
                <w:sz w:val="21"/>
                <w:color w:val="000000"/>
              </w:rPr>
              <w:t>七、合同支付：合同签订后，达到付款条件之日起</w:t>
            </w:r>
            <w:r>
              <w:rPr>
                <w:rFonts w:ascii="仿宋_GB2312" w:hAnsi="仿宋_GB2312" w:cs="仿宋_GB2312" w:eastAsia="仿宋_GB2312"/>
                <w:sz w:val="21"/>
                <w:color w:val="000000"/>
              </w:rPr>
              <w:t>15</w:t>
            </w:r>
            <w:r>
              <w:rPr>
                <w:rFonts w:ascii="仿宋_GB2312" w:hAnsi="仿宋_GB2312" w:cs="仿宋_GB2312" w:eastAsia="仿宋_GB2312"/>
                <w:sz w:val="21"/>
                <w:color w:val="000000"/>
              </w:rPr>
              <w:t>日内支付施工方签约合同价的</w:t>
            </w:r>
            <w:r>
              <w:rPr>
                <w:rFonts w:ascii="仿宋_GB2312" w:hAnsi="仿宋_GB2312" w:cs="仿宋_GB2312" w:eastAsia="仿宋_GB2312"/>
                <w:sz w:val="21"/>
                <w:color w:val="000000"/>
              </w:rPr>
              <w:t>40%;</w:t>
            </w:r>
            <w:r>
              <w:rPr>
                <w:rFonts w:ascii="仿宋_GB2312" w:hAnsi="仿宋_GB2312" w:cs="仿宋_GB2312" w:eastAsia="仿宋_GB2312"/>
                <w:sz w:val="21"/>
                <w:color w:val="000000"/>
              </w:rPr>
              <w:t>完成全部工程内容且验收</w:t>
            </w:r>
          </w:p>
          <w:p>
            <w:pPr>
              <w:pStyle w:val="null3"/>
            </w:pPr>
            <w:r>
              <w:rPr>
                <w:rFonts w:ascii="仿宋_GB2312" w:hAnsi="仿宋_GB2312" w:cs="仿宋_GB2312" w:eastAsia="仿宋_GB2312"/>
                <w:sz w:val="21"/>
                <w:color w:val="000000"/>
              </w:rPr>
              <w:t>合格之日起</w:t>
            </w:r>
            <w:r>
              <w:rPr>
                <w:rFonts w:ascii="仿宋_GB2312" w:hAnsi="仿宋_GB2312" w:cs="仿宋_GB2312" w:eastAsia="仿宋_GB2312"/>
                <w:sz w:val="21"/>
                <w:color w:val="000000"/>
              </w:rPr>
              <w:t>15</w:t>
            </w:r>
            <w:r>
              <w:rPr>
                <w:rFonts w:ascii="仿宋_GB2312" w:hAnsi="仿宋_GB2312" w:cs="仿宋_GB2312" w:eastAsia="仿宋_GB2312"/>
                <w:sz w:val="21"/>
                <w:color w:val="000000"/>
              </w:rPr>
              <w:t>日内支付至合同价的</w:t>
            </w:r>
            <w:r>
              <w:rPr>
                <w:rFonts w:ascii="仿宋_GB2312" w:hAnsi="仿宋_GB2312" w:cs="仿宋_GB2312" w:eastAsia="仿宋_GB2312"/>
                <w:sz w:val="21"/>
                <w:color w:val="000000"/>
              </w:rPr>
              <w:t>80%</w:t>
            </w:r>
            <w:r>
              <w:rPr>
                <w:rFonts w:ascii="仿宋_GB2312" w:hAnsi="仿宋_GB2312" w:cs="仿宋_GB2312" w:eastAsia="仿宋_GB2312"/>
                <w:sz w:val="21"/>
                <w:color w:val="000000"/>
              </w:rPr>
              <w:t>；结算审计完成后</w:t>
            </w:r>
            <w:r>
              <w:rPr>
                <w:rFonts w:ascii="仿宋_GB2312" w:hAnsi="仿宋_GB2312" w:cs="仿宋_GB2312" w:eastAsia="仿宋_GB2312"/>
                <w:sz w:val="21"/>
                <w:color w:val="000000"/>
              </w:rPr>
              <w:t>15</w:t>
            </w:r>
            <w:r>
              <w:rPr>
                <w:rFonts w:ascii="仿宋_GB2312" w:hAnsi="仿宋_GB2312" w:cs="仿宋_GB2312" w:eastAsia="仿宋_GB2312"/>
                <w:sz w:val="21"/>
                <w:color w:val="000000"/>
              </w:rPr>
              <w:t>日内支付至审定价格的</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结算时乙方向甲方出具审计总价</w:t>
            </w:r>
            <w:r>
              <w:rPr>
                <w:rFonts w:ascii="仿宋_GB2312" w:hAnsi="仿宋_GB2312" w:cs="仿宋_GB2312" w:eastAsia="仿宋_GB2312"/>
                <w:sz w:val="21"/>
                <w:color w:val="000000"/>
              </w:rPr>
              <w:t>3%</w:t>
            </w:r>
            <w:r>
              <w:rPr>
                <w:rFonts w:ascii="仿宋_GB2312" w:hAnsi="仿宋_GB2312" w:cs="仿宋_GB2312" w:eastAsia="仿宋_GB2312"/>
                <w:sz w:val="21"/>
                <w:color w:val="000000"/>
              </w:rPr>
              <w:t>的质保函，质保函可采用保函或支票等方式；待项目质保期结束后，向乙方退还</w:t>
            </w:r>
          </w:p>
          <w:p>
            <w:pPr>
              <w:pStyle w:val="null3"/>
            </w:pP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付款前乙方应向甲方开具有效的等额发票。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符合国家现行相关施工质量验收规范“合格”标准。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1、供应商根据附件工程量清单在编制磋商响应文件时须提供已标价工程量清单。 2、工程量清单及图纸中不一致以工程量清单为准。 3、供应商报价包括完成本合同项下项目的所有费用，包括但不限于人工费、材料费、垃圾清运等费用。 4、本次项目支付方式以磋商文件第三章“磋商项目技术、服务、商务及其他要求”中“技术参数与性能指标”中付款方式为准。 5、 成交供应商需提供纸质版响应文件两本。 6、各供应商应根据“陕西省财政厅 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①有效的主体资格证明：具有独立承担民事责任能力的法人、其他组织或自然人 ，并出具合法有效的营业执照或事业单位法人证书等国家规定的相关证明，自然 人参与的提供其身份证明。 ②提供近1年内已缴纳的任意1个月的依法缴纳税款 的相关凭据（时间以税款所属日期为准、税种须包含增值税或企业所得税），凭 据应有税务机关或代收机关的公章或业务专用章。依法免税或无须缴纳税款的供 应商，应提供相关证明文件； ③社会保障资金缴存证明：提供近1年内已缴纳的 任意1个月的社会保障资金缴存单据或社保机构开具的社会保险参保缴费情况证 明，依法不需要缴纳社会保障资金的单位应提供相关证明材料； ④书面声明：参 加本次政府采购活动前三年内在经营活动中没有重大违纪，以及未被列入失信被 执行人、重大税收违法失信主体、政府采购严重违法失信行为记录名单的书面声 明；供应商不得为“信用中国”网站（www.creditchina.gov.cn）中列入失信被 执行人和重大税收违法失信主体名单的供应商，中国政府采购网（www.ccgp.g ov.cn）政府采购严重违法失信行为记录名单中被财政部门禁止参加政府采购活 动的供应商； ⑤承诺函：提供具有履行合同所必需的设备和专业技术能力的承诺 函。 供应商需在项目电子化交易系统中按要求填写《响应函》完成承诺并提供相 应证明文件进行电子签章。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提供会计师事务所出具的有效的2024年度或2025年度财务审计报告（成立时间 至提交投标文件截止时间不足一年的可提供成立后任意时段的资产负债表），或 提交自公告发布之日起至磋商截止日期前银行出具的资信证明，其他组织和自然 人提供银行出具的资信证明或财务报表。 供应商需在项目电子化交易系统中按要 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符合要求的供应商工程的施工单位全部为符合政策要求的中小企业承建。</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法定代表人授权书及被授权人近三个月内至少一个月的社保缴纳证明(法定代表人直接参加磋商，须提供法定代表人身份证明)。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供应商须具备行业主管部门颁发的电子与智能化工程专业承包资质二级及以上资质并具有有效的安全生产许可证。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机电工程专业二级及以上注册建造师资格，有效的安全生产考核合格证书(建安B证)，在本单位注册且无在建工程。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供应商基本信息及项目经理基本信息应在“陕西省住房和城乡建设厅网站(http://js.shaaxi.gov.cn/)陕西省建筑市场监管与诚信信息发布平台”可查询。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响应文件完整性及有效性</w:t>
            </w:r>
          </w:p>
        </w:tc>
        <w:tc>
          <w:tcPr>
            <w:tcW w:type="dxa" w:w="3322"/>
          </w:tcPr>
          <w:p>
            <w:pPr>
              <w:pStyle w:val="null3"/>
            </w:pPr>
            <w:r>
              <w:rPr>
                <w:rFonts w:ascii="仿宋_GB2312" w:hAnsi="仿宋_GB2312" w:cs="仿宋_GB2312" w:eastAsia="仿宋_GB2312"/>
              </w:rPr>
              <w:t>响应磋商文件要求，未出现采购文件规定的无效响应情形。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从提交首次响应文件截止之日起，不少于60天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采购内容及技术要求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施工方案完整、针对性极强，贴合项目实际工况与重难点；技术措施科学先进、可操作性强，关键工序有专项优化方案，完全符合规范要求得10分。 施工方案完整，针对性较强，能匹配项目主要工况；技术措施合理可行，覆盖核心工序，符合规范要求，无明显疏漏得7.5分； 施工方案基本完整，针对性一般，能满足项目基础施工需求；技术措施基本可行，关键工序措施略有欠缺，基本符合规范要求得5分； 施工方案残缺不全，缺乏针对性，与项目实际严重不符；技术措施不可行，核心工序无有效措施，不符合规范要求，甚至存在原则性错误，得2.5分。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质量管理体系健全完善、符合规范，质量目标明确，组织机构、岗位职责、管理制度、过程控制、检验检测、隐患排查、整改闭环及持续改进措施全面、针对性强、可操作性高，能有效保障工程质量得10分； 质量管理体系较为完善，质量目标、组织机构、管理制度及主要控制措施基本齐全，关键工序、隐蔽工程、材料设备等有相应管控，整体可满足工程质量要求得7.5分； 质量管理体系基本建立，质量目标、控制措施内容较简单、针对性一般，部分关键环节管控不够细化，基本能满足施工质量基本要求得5分； 质量管理体系不健全或缺失，质量目标、控制措施笼统、缺乏可操作性，关键工序、质量验收、过程管控等内容不足，难以有效保障工程质量得2.5分。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安全管理体系健全完善，组织机构、责任制、管理制度、专项方案、风险辨识、隐患排查、应急救援、教育培训、文明施工等措施全面具体、针对性强、可操作性强，安全保障能力突出得10分； 安全管理体系较为完善，安全责任、管理制度、主要防控措施基本齐全，关键工序、危大工程、现场防护等有相应管控，可满足项目安全生产要求得7.5分； 安全管理体系基本建立，安全措施内容较简单、针对性一般，部分关键环节管控不够细化，基本满足安全生产基本要求得5分； 安全管理体系不健全或缺失，安全措施笼统空洞、缺乏可操作性，危大工程、现场防护、应急管理等内容不足，难以有效保障施工安全得2.5分。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文明施工、消防、环境保护管理体系与措施</w:t>
            </w:r>
          </w:p>
        </w:tc>
        <w:tc>
          <w:tcPr>
            <w:tcW w:type="dxa" w:w="2492"/>
          </w:tcPr>
          <w:p>
            <w:pPr>
              <w:pStyle w:val="null3"/>
            </w:pPr>
            <w:r>
              <w:rPr>
                <w:rFonts w:ascii="仿宋_GB2312" w:hAnsi="仿宋_GB2312" w:cs="仿宋_GB2312" w:eastAsia="仿宋_GB2312"/>
              </w:rPr>
              <w:t>管理体系健全完善，文明施工、消防、扬尘噪声、污水固废、水土保持、绿色施工等措施全面具体、针对性强、可操作性高，保障措施充分可靠得10分； 管理体系较为完善，文明施工、消防、环保措施基本齐全，关键环节管控到位，可满足项目现场管理要求得7.5分； 管理体系基本建立，相关措施内容较简单、针对性一般，部分环节不够细化，基本满足现场管理基本要求得5分； 管理体系不健全或缺失，措施笼统空洞、缺乏可操作性，现场管控、消防、环保等内容不足，难以有效保障现场管理得2.5分。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项目重点、难点分析及对应保障措施</w:t>
            </w:r>
          </w:p>
        </w:tc>
        <w:tc>
          <w:tcPr>
            <w:tcW w:type="dxa" w:w="2492"/>
          </w:tcPr>
          <w:p>
            <w:pPr>
              <w:pStyle w:val="null3"/>
            </w:pPr>
            <w:r>
              <w:rPr>
                <w:rFonts w:ascii="仿宋_GB2312" w:hAnsi="仿宋_GB2312" w:cs="仿宋_GB2312" w:eastAsia="仿宋_GB2312"/>
              </w:rPr>
              <w:t>对项目重点、难点分析全面、精准透彻，贴合工程规模、工艺特点、现场条件及行业规范；对应保障措施具体可行、针对性强，涵盖技术、资源、组织、管理等维度，能有效破解关键问题5分； 对项目重点、难点分析较全面、基本准确，符合项目实际情况；对应保障措施基本具体、可操作性较强，能覆盖主要关键问题，满足项目实施要求得3.75分； 能识别项目主要重点、难点，但分析不够深入、针对性一般；对应保障措施内容较简单，部分环节管控不够细化，基本满足项目实施基本需求得2.5分； 对项目重点、难点识别不清或缺失，分析笼统片面；对应保障措施空洞笼统、缺乏可操作性，无法有效应对关键问题，难以保障项目顺利实施得1.25分。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进度计划科学合理、细化完整，贴合项目总工期要求，涵盖施工各阶段、关键节点及交叉作业安排，逻辑清晰；保障措施全面具体、针对性强，从组织管理、资源配置（人材机）、技术优化、应急预案、奖惩机制等维度形成闭环，能有效保障工期目标实现得5分； 进度计划基本合理、关键节点明确，符合总工期要求，主要施工阶段安排可行；保障措施较具体、可操作性较强，覆盖资源保障、进度管控等核心内容，能满足项目工期实施要求得3.75分； 进度计划框架基本完整，但细节不够细化，关键节点管控不够明确；保障措施内容较简单、针对性一般，能覆盖主要保障维度，但部分环节不够完善，基本满足工期基本要求得2.5分； 进度计划不合理或缺失关键内容，节点混乱、与总工期要求不符；保障措施笼统空洞、缺乏可操作性，未明确资源配置、管控机制等核心内容，难以保障工期顺利推进1.25分。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保修方案及服务承诺</w:t>
            </w:r>
          </w:p>
        </w:tc>
        <w:tc>
          <w:tcPr>
            <w:tcW w:type="dxa" w:w="2492"/>
          </w:tcPr>
          <w:p>
            <w:pPr>
              <w:pStyle w:val="null3"/>
            </w:pPr>
            <w:r>
              <w:rPr>
                <w:rFonts w:ascii="仿宋_GB2312" w:hAnsi="仿宋_GB2312" w:cs="仿宋_GB2312" w:eastAsia="仿宋_GB2312"/>
              </w:rPr>
              <w:t>保修方案健全完善、针对性强，明确保修范围、期限、责任划分、响应流程、维修标准及质量追溯机制，贴合工程类型特点；服务承诺具体务实、保障有力，涵盖 24 小时应急响应、上门服务时限、质保期后增值服务、投诉处理闭环等内容，可操作性强，能充分保障采购人权益得6分； 保修方案较为完善，保修范围、期限、主要维修流程基本明确，符合行业规范及项目要求；服务承诺基本具体，明确响应时限、维修责任等核心内容，可满足采购人基本服务需求得4.5分； 保修方案基本建立，但内容较简单，保修流程、责任划分不够细化，针对性一般；服务承诺内容笼统，仅明确核心保修期限，部分服务细节缺失，基本满足保修基本要求得3分； 保修方案不健全或缺失，未明确保修范围、责任、流程等关键内容；服务承诺空洞无实质内容，缺乏可操作性，难以保障采购人售后权益得1.5分。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科学全面、精准适配，劳动力、材料设备、机械设备、资金、技术人员等配置与施工进度计划、工程规模及工艺要求高度匹配；明确资源进场时间、数量、规格及管理保障措施，关键岗位人员资质齐全、设备性能先进，资源储备及应急补充方案完善，可充分保障工程连续高效推进得5分； 资源配备计划基本合理、核心资源明确，劳动力、主要材料设备、机械设备等配置满足总工期及关键工序要求；资源进场安排、数量规格基本清晰，有相应管理措施，能保障工程正常施工需求得3.75分； 资源配备计划框架基本完整，但资源配置细节不够细化，部分资源（如特殊设备、专业人员）安排不够明确，管理保障措施较简单，基本能满足工程施工基本需求得2.5分； 资源配备计划不合理或缺失关键内容，资源种类、数量、进场时间混乱，未结合施工进度及工程实际需求配置，缺乏有效管理保障措施，难以保障工程顺利实施得1.25分。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关键岗位（项目经理、技术负责人等）资质齐全且等级达标，完全符合招标文件及行业规定；专业人员、特种作业人员配置充足、分工清晰，人员从业履历、类似项目经验与本项目规模、工艺特点高度匹配；有详细的人员进场计划、岗位职责说明书及履职考核机制，保障措施完善，可充分支撑工程高效推进得3分； 关键岗位资质满足基本要求，符合招标文件核心规定；主要专业人员配置到位，人员配置与项目需求基本匹配，有明确的人员进场安排及基础履职保障措施，能保障工程正常施工得2分； 关键岗位资质不符或缺失，专业人员、特种作业人员配置不足；人员履历与项目需求不匹配，无明确的人员进场计划及履职保障措施，难以支撑工程顺利实施得1分。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施工设备</w:t>
            </w:r>
          </w:p>
        </w:tc>
        <w:tc>
          <w:tcPr>
            <w:tcW w:type="dxa" w:w="2492"/>
          </w:tcPr>
          <w:p>
            <w:pPr>
              <w:pStyle w:val="null3"/>
            </w:pPr>
            <w:r>
              <w:rPr>
                <w:rFonts w:ascii="仿宋_GB2312" w:hAnsi="仿宋_GB2312" w:cs="仿宋_GB2312" w:eastAsia="仿宋_GB2312"/>
              </w:rPr>
              <w:t>设备配置与施工进度计划、施工工艺高度匹配，能充分保障工程施工效率和质量得3分； 设备配置与施工计划、工艺基本匹配，无明显不合理之处，能基本保障工程施工效率和质量得3分得2分； 设备配置与施工计划、工艺不匹配，不能充分保障工程施工效率和质量得1分。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近三年（2023年1月1日至今，以合同签订日期为准）具有已完成类似项目业绩，每有一项得1分，满分3分（提供已签订合同复印件加盖公章）。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详见附件：合同模板（工程）.docx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